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5981" w14:textId="77777777" w:rsidR="005D2E14" w:rsidRPr="00DA193A" w:rsidRDefault="00FC159E">
      <w:pPr>
        <w:spacing w:line="259" w:lineRule="auto"/>
      </w:pPr>
      <w:r w:rsidRPr="00DA193A">
        <w:rPr>
          <w:noProof/>
          <w:lang w:eastAsia="ru-RU"/>
        </w:rPr>
        <w:drawing>
          <wp:anchor distT="0" distB="0" distL="114300" distR="114300" simplePos="0" relativeHeight="251658240" behindDoc="0" locked="0" layoutInCell="1" allowOverlap="1" wp14:anchorId="175B2A59" wp14:editId="1F7459F9">
            <wp:simplePos x="0" y="0"/>
            <wp:positionH relativeFrom="page">
              <wp:posOffset>-378460</wp:posOffset>
            </wp:positionH>
            <wp:positionV relativeFrom="margin">
              <wp:posOffset>-1457325</wp:posOffset>
            </wp:positionV>
            <wp:extent cx="8281035" cy="11762740"/>
            <wp:effectExtent l="0" t="0" r="571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7">
                      <a:extLst>
                        <a:ext uri="{28A0092B-C50C-407E-A947-70E740481C1C}">
                          <a14:useLocalDpi xmlns:a14="http://schemas.microsoft.com/office/drawing/2010/main" val="0"/>
                        </a:ext>
                      </a:extLst>
                    </a:blip>
                    <a:stretch>
                      <a:fillRect/>
                    </a:stretch>
                  </pic:blipFill>
                  <pic:spPr>
                    <a:xfrm>
                      <a:off x="0" y="0"/>
                      <a:ext cx="8281035" cy="11762740"/>
                    </a:xfrm>
                    <a:prstGeom prst="rect">
                      <a:avLst/>
                    </a:prstGeom>
                  </pic:spPr>
                </pic:pic>
              </a:graphicData>
            </a:graphic>
            <wp14:sizeRelH relativeFrom="margin">
              <wp14:pctWidth>0</wp14:pctWidth>
            </wp14:sizeRelH>
            <wp14:sizeRelV relativeFrom="margin">
              <wp14:pctHeight>0</wp14:pctHeight>
            </wp14:sizeRelV>
          </wp:anchor>
        </w:drawing>
      </w:r>
      <w:r w:rsidR="0008276D" w:rsidRPr="00DA193A">
        <w:rPr>
          <w:noProof/>
        </w:rPr>
        <mc:AlternateContent>
          <mc:Choice Requires="wps">
            <w:drawing>
              <wp:anchor distT="45720" distB="45720" distL="114300" distR="114300" simplePos="0" relativeHeight="251660288" behindDoc="0" locked="0" layoutInCell="1" allowOverlap="1" wp14:anchorId="4DAC5D6E" wp14:editId="688912BC">
                <wp:simplePos x="0" y="0"/>
                <wp:positionH relativeFrom="margin">
                  <wp:align>center</wp:align>
                </wp:positionH>
                <wp:positionV relativeFrom="paragraph">
                  <wp:posOffset>8804681</wp:posOffset>
                </wp:positionV>
                <wp:extent cx="7143750" cy="1764284"/>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1764284"/>
                        </a:xfrm>
                        <a:prstGeom prst="rect">
                          <a:avLst/>
                        </a:prstGeom>
                        <a:solidFill>
                          <a:srgbClr val="FFFFFF"/>
                        </a:solidFill>
                        <a:ln w="9525">
                          <a:solidFill>
                            <a:srgbClr val="000000"/>
                          </a:solidFill>
                          <a:miter lim="800000"/>
                          <a:headEnd/>
                          <a:tailEnd/>
                        </a:ln>
                      </wps:spPr>
                      <wps:txbx>
                        <w:txbxContent>
                          <w:p w14:paraId="1D776374" w14:textId="77777777" w:rsidR="005D2E14" w:rsidRDefault="00FC159E">
                            <w:pPr>
                              <w:rPr>
                                <w:sz w:val="16"/>
                                <w:szCs w:val="16"/>
                              </w:rPr>
                            </w:pPr>
                            <w:r>
                              <w:rPr>
                                <w:rFonts w:ascii="Roboto" w:hAnsi="Roboto"/>
                                <w:color w:val="000000"/>
                                <w:sz w:val="16"/>
                                <w:szCs w:val="16"/>
                              </w:rPr>
                              <w:t>© copyright of the Australian Mobile Telecommunications Association (AMTA), Communications Alliance, the Consumer Electronics Suppliers Association (CESA), the Digital Industry Group Inc (DIGI), and the Interactive Games and Entertainment Association (IGEA) and contributors, 202</w:t>
                            </w:r>
                            <w:r w:rsidR="0095737E">
                              <w:rPr>
                                <w:rFonts w:ascii="Roboto" w:hAnsi="Roboto"/>
                                <w:color w:val="000000"/>
                                <w:sz w:val="16"/>
                                <w:szCs w:val="16"/>
                              </w:rPr>
                              <w:t>5</w:t>
                            </w:r>
                            <w:r>
                              <w:rPr>
                                <w:rFonts w:ascii="Roboto" w:hAnsi="Roboto"/>
                                <w:color w:val="000000"/>
                                <w:sz w:val="16"/>
                                <w:szCs w:val="16"/>
                              </w:rPr>
                              <w:t xml:space="preserve">. Except as permitted by the copyright law applicable to you, you may not reproduce or communicate any of the contents in this document, without the permission of the copyright owners. You may contact the owners at </w:t>
                            </w:r>
                            <w:r>
                              <w:rPr>
                                <w:rFonts w:ascii="Roboto" w:hAnsi="Roboto"/>
                                <w:color w:val="1155CC"/>
                                <w:sz w:val="16"/>
                                <w:szCs w:val="16"/>
                              </w:rPr>
                              <w:t>hello@onlinesafety.org.au</w:t>
                            </w:r>
                            <w:r>
                              <w:rPr>
                                <w:rFonts w:ascii="Roboto" w:hAnsi="Roboto"/>
                                <w:color w:val="000000"/>
                                <w:sz w:val="16"/>
                                <w:szCs w:val="16"/>
                              </w:rPr>
                              <w:t xml:space="preserve"> to seek permission to use this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AC5D6E" id="_x0000_t202" coordsize="21600,21600" o:spt="202" path="m,l,21600r21600,l21600,xe">
                <v:stroke joinstyle="miter"/>
                <v:path gradientshapeok="t" o:connecttype="rect"/>
              </v:shapetype>
              <v:shape id="Text Box 2" o:spid="_x0000_s1026" type="#_x0000_t202" style="position:absolute;margin-left:0;margin-top:693.3pt;width:562.5pt;height:138.9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RHEAIAACAEAAAOAAAAZHJzL2Uyb0RvYy54bWysU9tu2zAMfR+wfxD0vtjOnCY14hRdugwD&#10;ugvQ7QNkWY6FyaImKbGzry8lu2l2exmmB4EUqUPykFzfDJ0iR2GdBF3SbJZSIjSHWup9Sb9+2b1a&#10;Ue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PjMstfLxdo4mjLllf5fJXHGKx4+m6s8+8EdCQIJbXY1QjPjvfOh3RY8eQSojlQst5JpaJi&#10;99VWWXJkOAG7eCb0n9yUJn1JrxfzxcjAXyHSeP4E0UmPo6xkV9LV2YkVgbe3uo6D5plUo4wpKz0R&#10;GbgbWfRDNaBjILSC+oSUWhhHFlcMhRbsD0p6HNeSuu8HZgUl6r3GtlxneR7mOyr5YjlHxV5aqksL&#10;0xyhSuopGcWtjzsRCTO32L6djMQ+ZzLlimMY+Z5WJsz5pR69nhd78wgAAP//AwBQSwMEFAAGAAgA&#10;AAAhAOL33gHeAAAACwEAAA8AAABkcnMvZG93bnJldi54bWxMj81uwjAQhO+V+g7WVuoFFYefWCjE&#10;QS0Sp54I9G7iJYkar9PYQHj7Lqf2tjuzmv0m34yuE1ccQutJw2yagECqvG2p1nA87N5WIEI0ZE3n&#10;CTXcMcCmeH7KTWb9jfZ4LWMtOIRCZjQ0MfaZlKFq0Jkw9T0Se2c/OBN5HWppB3PjcNfJeZIo6UxL&#10;/KExPW4brL7Li9OgfsrF5PPLTmh/330MlUvt9phq/foyvq9BRBzj3zE88BkdCmY6+QvZIDoNXCSy&#10;ulgpBeLhz+YpayeelFouQRa5/N+h+AUAAP//AwBQSwECLQAUAAYACAAAACEAtoM4kv4AAADhAQAA&#10;EwAAAAAAAAAAAAAAAAAAAAAAW0NvbnRlbnRfVHlwZXNdLnhtbFBLAQItABQABgAIAAAAIQA4/SH/&#10;1gAAAJQBAAALAAAAAAAAAAAAAAAAAC8BAABfcmVscy8ucmVsc1BLAQItABQABgAIAAAAIQCGEdRH&#10;EAIAACAEAAAOAAAAAAAAAAAAAAAAAC4CAABkcnMvZTJvRG9jLnhtbFBLAQItABQABgAIAAAAIQDi&#10;994B3gAAAAsBAAAPAAAAAAAAAAAAAAAAAGoEAABkcnMvZG93bnJldi54bWxQSwUGAAAAAAQABADz&#10;AAAAdQUAAAAA&#10;">
                <v:textbox style="mso-fit-shape-to-text:t">
                  <w:txbxContent>
                    <w:p w14:paraId="1D776374" w14:textId="77777777" w:rsidR="005D2E14" w:rsidRDefault="00FC159E">
                      <w:pPr>
                        <w:rPr>
                          <w:sz w:val="16"/>
                          <w:szCs w:val="16"/>
                        </w:rPr>
                      </w:pPr>
                      <w:r>
                        <w:rPr>
                          <w:rFonts w:ascii="Roboto" w:hAnsi="Roboto"/>
                          <w:color w:val="000000"/>
                          <w:sz w:val="16"/>
                          <w:szCs w:val="16"/>
                        </w:rPr>
                        <w:t>© copyright of the Australian Mobile Telecommunications Association (AMTA), Communications Alliance, the Consumer Electronics Suppliers Association (CESA), the Digital Industry Group Inc (DIGI), and the Interactive Games and Entertainment Association (IGEA) and contributors, 202</w:t>
                      </w:r>
                      <w:r w:rsidR="0095737E">
                        <w:rPr>
                          <w:rFonts w:ascii="Roboto" w:hAnsi="Roboto"/>
                          <w:color w:val="000000"/>
                          <w:sz w:val="16"/>
                          <w:szCs w:val="16"/>
                        </w:rPr>
                        <w:t>5</w:t>
                      </w:r>
                      <w:r>
                        <w:rPr>
                          <w:rFonts w:ascii="Roboto" w:hAnsi="Roboto"/>
                          <w:color w:val="000000"/>
                          <w:sz w:val="16"/>
                          <w:szCs w:val="16"/>
                        </w:rPr>
                        <w:t xml:space="preserve">. Except as permitted by the copyright law applicable to you, you may not reproduce or communicate any of the contents in this document, without the permission of the copyright owners. You may contact the owners at </w:t>
                      </w:r>
                      <w:r>
                        <w:rPr>
                          <w:rFonts w:ascii="Roboto" w:hAnsi="Roboto"/>
                          <w:color w:val="1155CC"/>
                          <w:sz w:val="16"/>
                          <w:szCs w:val="16"/>
                        </w:rPr>
                        <w:t>hello@onlinesafety.org.au</w:t>
                      </w:r>
                      <w:r>
                        <w:rPr>
                          <w:rFonts w:ascii="Roboto" w:hAnsi="Roboto"/>
                          <w:color w:val="000000"/>
                          <w:sz w:val="16"/>
                          <w:szCs w:val="16"/>
                        </w:rPr>
                        <w:t xml:space="preserve"> to seek permission to use this document.</w:t>
                      </w:r>
                    </w:p>
                  </w:txbxContent>
                </v:textbox>
                <w10:wrap anchorx="margin"/>
              </v:shape>
            </w:pict>
          </mc:Fallback>
        </mc:AlternateContent>
      </w:r>
      <w:r>
        <w:rPr>
          <w:lang w:eastAsia="ru-RU"/>
        </w:rPr>
        <w:pict w14:anchorId="6DA0A4F7">
          <v:shape id="4a9893cb8b3941b6a191b3297f5a8b18" o:spid="_x0000_s1026" style="position:absolute;margin-left:13.55pt;margin-top:34.05pt;width:426.5pt;height:255.25pt;z-index:251659264;visibility:visible;mso-wrap-style:square;mso-width-percent:0;mso-height-percent:0;mso-wrap-distance-left:9pt;mso-wrap-distance-top:0;mso-wrap-distance-right:9pt;mso-wrap-distance-bottom:0;mso-position-horizontal-relative:text;mso-position-vertical-relative:page;mso-width-percent:0;mso-height-percent:0;mso-width-relative:margin;mso-height-relative:margin;v-text-anchor:top" coordsize="21600,21600" o:spt="100" adj="0,,0" path="" filled="f" stroked="f" strokeweight=".5pt">
            <v:stroke joinstyle="round"/>
            <v:formulas/>
            <v:path o:connecttype="none" textboxrect="0,0,21600,21600"/>
            <v:textbox inset="0,0,0,0">
              <w:txbxContent>
                <w:p w14:paraId="0F770169" w14:textId="77777777" w:rsidR="005958EF" w:rsidRPr="00463BDA" w:rsidRDefault="00FC159E">
                  <w:pPr>
                    <w:pStyle w:val="14Lead11"/>
                    <w:spacing w:line="276" w:lineRule="auto"/>
                    <w:rPr>
                      <w:rFonts w:ascii="Raleway" w:hAnsi="Raleway" w:cs="Zilla Slab Light"/>
                      <w:b/>
                      <w:bCs/>
                      <w:color w:val="CCD701"/>
                      <w:spacing w:val="16"/>
                      <w:sz w:val="48"/>
                      <w:szCs w:val="48"/>
                      <w14:numForm w14:val="lining"/>
                      <w14:numSpacing w14:val="proportional"/>
                    </w:rPr>
                  </w:pPr>
                  <w:r>
                    <w:rPr>
                      <w:rFonts w:ascii="Raleway" w:hAnsi="Raleway" w:cs="Zilla Slab Light"/>
                      <w:b/>
                      <w:bCs/>
                      <w:color w:val="CCD701"/>
                      <w:spacing w:val="16"/>
                      <w:sz w:val="56"/>
                      <w:szCs w:val="56"/>
                      <w14:numForm w14:val="lining"/>
                      <w14:numSpacing w14:val="proportional"/>
                    </w:rPr>
                    <w:t xml:space="preserve">Schedule </w:t>
                  </w:r>
                  <w:r w:rsidR="00EC2AB2">
                    <w:rPr>
                      <w:rFonts w:ascii="Raleway" w:hAnsi="Raleway" w:cs="Zilla Slab Light"/>
                      <w:b/>
                      <w:bCs/>
                      <w:color w:val="CCD701"/>
                      <w:spacing w:val="16"/>
                      <w:sz w:val="56"/>
                      <w:szCs w:val="56"/>
                      <w14:numForm w14:val="lining"/>
                      <w14:numSpacing w14:val="proportional"/>
                    </w:rPr>
                    <w:t>4</w:t>
                  </w:r>
                  <w:r>
                    <w:rPr>
                      <w:rFonts w:ascii="Raleway" w:hAnsi="Raleway" w:cs="Zilla Slab Light"/>
                      <w:b/>
                      <w:bCs/>
                      <w:color w:val="CCD701"/>
                      <w:spacing w:val="16"/>
                      <w:sz w:val="56"/>
                      <w:szCs w:val="56"/>
                      <w14:numForm w14:val="lining"/>
                      <w14:numSpacing w14:val="proportional"/>
                    </w:rPr>
                    <w:t xml:space="preserve"> – Social Media Services </w:t>
                  </w:r>
                  <w:r w:rsidR="00981786">
                    <w:rPr>
                      <w:rFonts w:ascii="Raleway" w:hAnsi="Raleway" w:cs="Zilla Slab Light"/>
                      <w:b/>
                      <w:bCs/>
                      <w:color w:val="CCD701"/>
                      <w:spacing w:val="16"/>
                      <w:sz w:val="56"/>
                      <w:szCs w:val="56"/>
                      <w14:numForm w14:val="lining"/>
                      <w14:numSpacing w14:val="proportional"/>
                    </w:rPr>
                    <w:t xml:space="preserve">(Core Features) </w:t>
                  </w:r>
                  <w:r>
                    <w:rPr>
                      <w:rFonts w:ascii="Raleway" w:hAnsi="Raleway" w:cs="Zilla Slab Light"/>
                      <w:b/>
                      <w:bCs/>
                      <w:color w:val="CCD701"/>
                      <w:spacing w:val="16"/>
                      <w:sz w:val="56"/>
                      <w:szCs w:val="56"/>
                      <w14:numForm w14:val="lining"/>
                      <w14:numSpacing w14:val="proportional"/>
                    </w:rPr>
                    <w:t>Online Safety Code (Class 1C and Class 2 Material)</w:t>
                  </w:r>
                </w:p>
              </w:txbxContent>
            </v:textbox>
            <w10:wrap anchory="page"/>
          </v:shape>
        </w:pict>
      </w:r>
      <w:r w:rsidR="00167568">
        <w:t>sof</w:t>
      </w:r>
      <w:r w:rsidR="00624517" w:rsidRPr="00DA193A">
        <w:t>n</w:t>
      </w:r>
    </w:p>
    <w:p w14:paraId="08D89B62" w14:textId="77777777" w:rsidR="005D2E14" w:rsidRPr="00DA193A" w:rsidRDefault="005D2E14">
      <w:pPr>
        <w:pStyle w:val="SchedulePageHeading"/>
        <w:sectPr w:rsidR="005D2E14" w:rsidRPr="00DA193A" w:rsidSect="00435FC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431" w:footer="561" w:gutter="0"/>
          <w:pgNumType w:start="1"/>
          <w:cols w:space="720"/>
          <w:titlePg/>
          <w:docGrid w:linePitch="272"/>
        </w:sectPr>
      </w:pPr>
      <w:bookmarkStart w:id="0" w:name="_2wwbldi" w:colFirst="0" w:colLast="0"/>
      <w:bookmarkEnd w:id="0"/>
    </w:p>
    <w:p w14:paraId="78CDB931" w14:textId="77777777" w:rsidR="005D2E14" w:rsidRPr="00DA193A" w:rsidRDefault="00FC159E">
      <w:pPr>
        <w:pStyle w:val="Heading1"/>
        <w:rPr>
          <w:rFonts w:eastAsia="Cambria"/>
        </w:rPr>
      </w:pPr>
      <w:bookmarkStart w:id="1" w:name="_Hlk108526548"/>
      <w:r w:rsidRPr="00DA193A">
        <w:rPr>
          <w:rFonts w:eastAsia="Cambria"/>
        </w:rPr>
        <w:lastRenderedPageBreak/>
        <w:t>Structure</w:t>
      </w:r>
    </w:p>
    <w:p w14:paraId="07468EA8" w14:textId="77777777" w:rsidR="005D2E14" w:rsidRPr="00DA193A" w:rsidRDefault="00FC159E">
      <w:pPr>
        <w:pStyle w:val="Indent2"/>
        <w:rPr>
          <w:rFonts w:eastAsia="Cambria"/>
        </w:rPr>
      </w:pPr>
      <w:r w:rsidRPr="00DA193A">
        <w:rPr>
          <w:rFonts w:eastAsia="Cambria"/>
        </w:rPr>
        <w:t xml:space="preserve">This Code is comprised of the terms of this Schedule together with the </w:t>
      </w:r>
      <w:r w:rsidRPr="00DA193A">
        <w:t>Online Safety Code (Class 1C and Class 2 Material) Head Terms (</w:t>
      </w:r>
      <w:r w:rsidRPr="00DA193A">
        <w:rPr>
          <w:b/>
          <w:bCs/>
        </w:rPr>
        <w:t>Head Terms</w:t>
      </w:r>
      <w:r w:rsidRPr="00DA193A">
        <w:t>).</w:t>
      </w:r>
    </w:p>
    <w:bookmarkEnd w:id="1"/>
    <w:p w14:paraId="38DB6E44" w14:textId="77777777" w:rsidR="005D2E14" w:rsidRPr="00DA193A" w:rsidRDefault="00FC159E">
      <w:pPr>
        <w:pStyle w:val="Heading1"/>
      </w:pPr>
      <w:r w:rsidRPr="00DA193A">
        <w:t>Scope</w:t>
      </w:r>
    </w:p>
    <w:p w14:paraId="5521F920" w14:textId="77777777" w:rsidR="005D2E14" w:rsidRPr="00DA193A" w:rsidRDefault="00FC159E">
      <w:pPr>
        <w:pStyle w:val="Heading3"/>
      </w:pPr>
      <w:r w:rsidRPr="00DA193A">
        <w:t xml:space="preserve">This Code applies to </w:t>
      </w:r>
      <w:r w:rsidR="00B5527E">
        <w:t>the</w:t>
      </w:r>
      <w:r w:rsidRPr="00DA193A">
        <w:t xml:space="preserve"> provider of </w:t>
      </w:r>
      <w:r w:rsidR="00B5527E">
        <w:t xml:space="preserve">a </w:t>
      </w:r>
      <w:r w:rsidRPr="00DA193A">
        <w:t>social media service, so far as materials on that service are provided to Australian end-users.</w:t>
      </w:r>
    </w:p>
    <w:p w14:paraId="135F12F9" w14:textId="77777777" w:rsidR="005D2E14" w:rsidRPr="00DA193A" w:rsidRDefault="00FC159E">
      <w:pPr>
        <w:pStyle w:val="Heading3"/>
        <w:rPr>
          <w:lang w:val="en-GB"/>
        </w:rPr>
      </w:pPr>
      <w:r w:rsidRPr="00DA193A">
        <w:rPr>
          <w:lang w:val="en-GB"/>
        </w:rPr>
        <w:t xml:space="preserve">Social media services include a wide variety of unique services from community-based services with a local user base to larger platforms with international user bases. </w:t>
      </w:r>
    </w:p>
    <w:p w14:paraId="4167A5D6" w14:textId="77777777" w:rsidR="005D2E14" w:rsidRDefault="00FC159E">
      <w:pPr>
        <w:pStyle w:val="Heading3"/>
        <w:rPr>
          <w:lang w:val="en-GB"/>
        </w:rPr>
      </w:pPr>
      <w:r w:rsidRPr="00DA193A">
        <w:rPr>
          <w:lang w:val="en-GB"/>
        </w:rPr>
        <w:t>Social media services may include social networks, public media sharing networks, discussion forums, and consumer review networks, to the extent that they satisfy the criteria of a social media service as outlined in the OSA.</w:t>
      </w:r>
    </w:p>
    <w:p w14:paraId="4051D23E" w14:textId="77777777" w:rsidR="00665F98" w:rsidRDefault="00FC159E">
      <w:pPr>
        <w:pStyle w:val="Heading3"/>
        <w:rPr>
          <w:lang w:val="en-GB"/>
        </w:rPr>
      </w:pPr>
      <w:r>
        <w:rPr>
          <w:lang w:val="en-GB"/>
        </w:rPr>
        <w:t>If a social media s</w:t>
      </w:r>
      <w:r w:rsidR="009042D2">
        <w:rPr>
          <w:lang w:val="en-GB"/>
        </w:rPr>
        <w:t xml:space="preserve">ervice includes a messaging feature, this Code does not apply to the messaging feature. </w:t>
      </w:r>
    </w:p>
    <w:p w14:paraId="1DFB63A6" w14:textId="77777777" w:rsidR="005D2E14" w:rsidRPr="00DA193A" w:rsidRDefault="00FC159E">
      <w:pPr>
        <w:pStyle w:val="Heading1"/>
        <w:rPr>
          <w:rFonts w:eastAsia="Cambria"/>
        </w:rPr>
      </w:pPr>
      <w:bookmarkStart w:id="2" w:name="_Ref201329105"/>
      <w:r w:rsidRPr="00DA193A">
        <w:rPr>
          <w:rFonts w:eastAsia="Cambria"/>
        </w:rPr>
        <w:t>Definitions</w:t>
      </w:r>
      <w:bookmarkEnd w:id="2"/>
    </w:p>
    <w:p w14:paraId="502AA9F3" w14:textId="77777777" w:rsidR="00430650" w:rsidRDefault="00FC159E" w:rsidP="00430650">
      <w:pPr>
        <w:pStyle w:val="Heading2"/>
        <w:rPr>
          <w:rFonts w:eastAsia="Cambria"/>
        </w:rPr>
      </w:pPr>
      <w:r>
        <w:rPr>
          <w:rFonts w:eastAsia="Cambria"/>
        </w:rPr>
        <w:t>General</w:t>
      </w:r>
    </w:p>
    <w:p w14:paraId="0FC6B688" w14:textId="77777777" w:rsidR="005D2E14" w:rsidRDefault="00FC159E">
      <w:pPr>
        <w:pStyle w:val="Heading3"/>
        <w:numPr>
          <w:ilvl w:val="0"/>
          <w:numId w:val="0"/>
        </w:numPr>
        <w:ind w:left="720"/>
        <w:rPr>
          <w:bCs/>
          <w:lang w:val="en-GB"/>
        </w:rPr>
      </w:pPr>
      <w:r w:rsidRPr="00DA193A">
        <w:rPr>
          <w:rFonts w:eastAsia="Cambria"/>
        </w:rPr>
        <w:t xml:space="preserve">Unless otherwise indicated, terms used in this Code have the meanings given in the Head Terms or </w:t>
      </w:r>
      <w:r w:rsidRPr="00DA193A">
        <w:rPr>
          <w:bCs/>
          <w:lang w:val="en-GB"/>
        </w:rPr>
        <w:t xml:space="preserve">as set out </w:t>
      </w:r>
      <w:r w:rsidR="00430650">
        <w:rPr>
          <w:bCs/>
          <w:lang w:val="en-GB"/>
        </w:rPr>
        <w:t xml:space="preserve">in this clause </w:t>
      </w:r>
      <w:r w:rsidR="00430650">
        <w:rPr>
          <w:bCs/>
          <w:lang w:val="en-GB"/>
        </w:rPr>
        <w:fldChar w:fldCharType="begin"/>
      </w:r>
      <w:r w:rsidR="00430650">
        <w:rPr>
          <w:bCs/>
          <w:lang w:val="en-GB"/>
        </w:rPr>
        <w:instrText xml:space="preserve"> REF _Ref201329105 \r \h </w:instrText>
      </w:r>
      <w:r w:rsidR="00430650">
        <w:rPr>
          <w:bCs/>
          <w:lang w:val="en-GB"/>
        </w:rPr>
      </w:r>
      <w:r w:rsidR="00430650">
        <w:rPr>
          <w:bCs/>
          <w:lang w:val="en-GB"/>
        </w:rPr>
        <w:fldChar w:fldCharType="separate"/>
      </w:r>
      <w:r w:rsidR="006E374E">
        <w:rPr>
          <w:bCs/>
          <w:lang w:val="en-GB"/>
        </w:rPr>
        <w:t>3</w:t>
      </w:r>
      <w:r w:rsidR="00430650">
        <w:rPr>
          <w:bCs/>
          <w:lang w:val="en-GB"/>
        </w:rPr>
        <w:fldChar w:fldCharType="end"/>
      </w:r>
      <w:r w:rsidRPr="00DA193A">
        <w:rPr>
          <w:bCs/>
          <w:lang w:val="en-GB"/>
        </w:rPr>
        <w:t>.</w:t>
      </w:r>
    </w:p>
    <w:p w14:paraId="55553E6C" w14:textId="77777777" w:rsidR="00430650" w:rsidRPr="00DA193A" w:rsidRDefault="00FC159E" w:rsidP="00430650">
      <w:pPr>
        <w:pStyle w:val="Heading2"/>
        <w:rPr>
          <w:lang w:val="en-GB"/>
        </w:rPr>
      </w:pPr>
      <w:r>
        <w:rPr>
          <w:lang w:val="en-GB"/>
        </w:rPr>
        <w:t>Definition of social media service</w:t>
      </w:r>
    </w:p>
    <w:p w14:paraId="424885DB" w14:textId="77777777" w:rsidR="005D2E14" w:rsidRPr="00DA193A" w:rsidRDefault="00FC159E">
      <w:pPr>
        <w:pStyle w:val="Heading3"/>
      </w:pPr>
      <w:r w:rsidRPr="00DA193A">
        <w:rPr>
          <w:b/>
        </w:rPr>
        <w:t>social media service</w:t>
      </w:r>
      <w:r w:rsidRPr="00DA193A">
        <w:t xml:space="preserve"> means an electronic service that: </w:t>
      </w:r>
    </w:p>
    <w:p w14:paraId="73440D7A" w14:textId="77777777" w:rsidR="005D2E14" w:rsidRPr="00DA193A" w:rsidRDefault="00FC159E">
      <w:pPr>
        <w:pStyle w:val="Heading4"/>
      </w:pPr>
      <w:r w:rsidRPr="00DA193A">
        <w:t>satisfies the following conditions:</w:t>
      </w:r>
    </w:p>
    <w:p w14:paraId="14C6093E" w14:textId="77777777" w:rsidR="005D2E14" w:rsidRPr="00DA193A" w:rsidRDefault="00FC159E">
      <w:pPr>
        <w:pStyle w:val="Heading5"/>
      </w:pPr>
      <w:bookmarkStart w:id="3" w:name="_Ref102993705"/>
      <w:bookmarkStart w:id="4" w:name="_Ref119595244"/>
      <w:r w:rsidRPr="00DA193A">
        <w:t>the sole or primary purpose of the service is to enable online social interaction between 2 or more end</w:t>
      </w:r>
      <w:r w:rsidRPr="00DA193A">
        <w:rPr>
          <w:rFonts w:ascii="Cambria Math" w:hAnsi="Cambria Math" w:cs="Cambria Math"/>
        </w:rPr>
        <w:t>‑</w:t>
      </w:r>
      <w:r w:rsidRPr="00DA193A">
        <w:t>users</w:t>
      </w:r>
      <w:bookmarkEnd w:id="3"/>
      <w:r w:rsidRPr="00DA193A">
        <w:t>;</w:t>
      </w:r>
      <w:bookmarkEnd w:id="4"/>
    </w:p>
    <w:p w14:paraId="0C5D562F" w14:textId="77777777" w:rsidR="005D2E14" w:rsidRPr="00DA193A" w:rsidRDefault="00FC159E">
      <w:pPr>
        <w:pStyle w:val="Heading5"/>
      </w:pPr>
      <w:r w:rsidRPr="00DA193A">
        <w:t>the service allows end</w:t>
      </w:r>
      <w:r w:rsidRPr="00DA193A">
        <w:rPr>
          <w:rFonts w:ascii="Cambria Math" w:hAnsi="Cambria Math" w:cs="Cambria Math"/>
        </w:rPr>
        <w:t>‑</w:t>
      </w:r>
      <w:r w:rsidRPr="00DA193A">
        <w:t>users to link to, or interact with, some or all other end</w:t>
      </w:r>
      <w:r w:rsidRPr="00DA193A">
        <w:rPr>
          <w:rFonts w:ascii="Cambria Math" w:hAnsi="Cambria Math" w:cs="Cambria Math"/>
        </w:rPr>
        <w:t>‑</w:t>
      </w:r>
      <w:r w:rsidRPr="00DA193A">
        <w:t>users;</w:t>
      </w:r>
    </w:p>
    <w:p w14:paraId="73C00790" w14:textId="77777777" w:rsidR="005D2E14" w:rsidRPr="00DA193A" w:rsidRDefault="00FC159E">
      <w:pPr>
        <w:pStyle w:val="Heading5"/>
      </w:pPr>
      <w:r w:rsidRPr="00DA193A">
        <w:t>the service allows end</w:t>
      </w:r>
      <w:r w:rsidRPr="00DA193A">
        <w:rPr>
          <w:rFonts w:ascii="Cambria Math" w:hAnsi="Cambria Math" w:cs="Cambria Math"/>
        </w:rPr>
        <w:t>‑</w:t>
      </w:r>
      <w:r w:rsidRPr="00DA193A">
        <w:t>users to post material on the service;</w:t>
      </w:r>
    </w:p>
    <w:p w14:paraId="28EF0BE3" w14:textId="77777777" w:rsidR="005D2E14" w:rsidRPr="00DA193A" w:rsidRDefault="00FC159E">
      <w:pPr>
        <w:pStyle w:val="Heading5"/>
      </w:pPr>
      <w:r w:rsidRPr="00DA193A">
        <w:t>such other conditions (if any) as are set out in the legislative rules; or</w:t>
      </w:r>
    </w:p>
    <w:p w14:paraId="75A7BE95" w14:textId="77777777" w:rsidR="005D2E14" w:rsidRPr="00DA193A" w:rsidRDefault="00FC159E">
      <w:pPr>
        <w:pStyle w:val="Heading4"/>
      </w:pPr>
      <w:r w:rsidRPr="00DA193A">
        <w:t>is an electronic service specified in the legislative rules;</w:t>
      </w:r>
    </w:p>
    <w:p w14:paraId="3F474008" w14:textId="77777777" w:rsidR="005D2E14" w:rsidRPr="00DA193A" w:rsidRDefault="00FC159E">
      <w:pPr>
        <w:pStyle w:val="Indent3"/>
        <w:rPr>
          <w:lang w:val="en-GB"/>
        </w:rPr>
      </w:pPr>
      <w:r w:rsidRPr="00DA193A">
        <w:rPr>
          <w:lang w:val="en-GB"/>
        </w:rPr>
        <w:t>but does not include an exempt service (as defined by clause</w:t>
      </w:r>
      <w:r w:rsidR="00417916" w:rsidRPr="00DA193A">
        <w:rPr>
          <w:lang w:val="en-GB"/>
        </w:rPr>
        <w:t xml:space="preserve"> </w:t>
      </w:r>
      <w:r w:rsidR="00417916" w:rsidRPr="00DA193A">
        <w:rPr>
          <w:lang w:val="en-GB"/>
        </w:rPr>
        <w:fldChar w:fldCharType="begin"/>
      </w:r>
      <w:r w:rsidR="00417916" w:rsidRPr="00DA193A">
        <w:rPr>
          <w:lang w:val="en-GB"/>
        </w:rPr>
        <w:instrText xml:space="preserve"> REF _Ref174370839 \w \h </w:instrText>
      </w:r>
      <w:r w:rsidR="00A304F2" w:rsidRPr="00DA193A">
        <w:rPr>
          <w:lang w:val="en-GB"/>
        </w:rPr>
        <w:instrText xml:space="preserve"> \* MERGEFORMAT </w:instrText>
      </w:r>
      <w:r w:rsidR="00417916" w:rsidRPr="00DA193A">
        <w:rPr>
          <w:lang w:val="en-GB"/>
        </w:rPr>
      </w:r>
      <w:r w:rsidR="00417916" w:rsidRPr="00DA193A">
        <w:rPr>
          <w:lang w:val="en-GB"/>
        </w:rPr>
        <w:fldChar w:fldCharType="separate"/>
      </w:r>
      <w:r w:rsidR="006E374E">
        <w:rPr>
          <w:lang w:val="en-GB"/>
        </w:rPr>
        <w:t>3.2(c)</w:t>
      </w:r>
      <w:r w:rsidR="00417916" w:rsidRPr="00DA193A">
        <w:rPr>
          <w:lang w:val="en-GB"/>
        </w:rPr>
        <w:fldChar w:fldCharType="end"/>
      </w:r>
      <w:r w:rsidRPr="00DA193A">
        <w:rPr>
          <w:lang w:val="en-GB"/>
        </w:rPr>
        <w:t>).</w:t>
      </w:r>
    </w:p>
    <w:p w14:paraId="2B704DF2" w14:textId="77777777" w:rsidR="005D2E14" w:rsidRPr="00DA193A" w:rsidRDefault="00FC159E">
      <w:pPr>
        <w:pStyle w:val="Indent3"/>
        <w:rPr>
          <w:sz w:val="16"/>
          <w:szCs w:val="16"/>
          <w:lang w:val="en-GB"/>
        </w:rPr>
      </w:pPr>
      <w:r w:rsidRPr="00DA193A">
        <w:rPr>
          <w:sz w:val="16"/>
          <w:szCs w:val="16"/>
          <w:u w:val="single"/>
          <w:lang w:val="en-GB"/>
        </w:rPr>
        <w:t>Note</w:t>
      </w:r>
      <w:r w:rsidRPr="00DA193A">
        <w:rPr>
          <w:sz w:val="16"/>
          <w:szCs w:val="16"/>
          <w:lang w:val="en-GB"/>
        </w:rPr>
        <w:t>: Online social interaction does not include (for example) online business interaction.</w:t>
      </w:r>
    </w:p>
    <w:p w14:paraId="0E6B0AFE" w14:textId="77777777" w:rsidR="005D2E14" w:rsidRPr="00DA193A" w:rsidRDefault="00FC159E">
      <w:pPr>
        <w:pStyle w:val="Heading3"/>
        <w:rPr>
          <w:lang w:val="en-GB"/>
        </w:rPr>
      </w:pPr>
      <w:r w:rsidRPr="00DA193A">
        <w:rPr>
          <w:b/>
          <w:bCs/>
          <w:lang w:val="en-GB"/>
        </w:rPr>
        <w:t>online social interaction</w:t>
      </w:r>
      <w:r w:rsidRPr="00DA193A">
        <w:rPr>
          <w:lang w:val="en-GB"/>
        </w:rPr>
        <w:t xml:space="preserve"> includes online interaction that enables end</w:t>
      </w:r>
      <w:r w:rsidRPr="00DA193A">
        <w:rPr>
          <w:rFonts w:ascii="Cambria Math" w:hAnsi="Cambria Math" w:cs="Cambria Math"/>
          <w:lang w:val="en-GB"/>
        </w:rPr>
        <w:t>‑</w:t>
      </w:r>
      <w:r w:rsidRPr="00DA193A">
        <w:rPr>
          <w:lang w:val="en-GB"/>
        </w:rPr>
        <w:t>users to share material for social purposes.</w:t>
      </w:r>
    </w:p>
    <w:p w14:paraId="3B917017" w14:textId="77777777" w:rsidR="005D2E14" w:rsidRPr="00DA193A" w:rsidRDefault="00FC159E">
      <w:pPr>
        <w:pStyle w:val="Indent3"/>
        <w:rPr>
          <w:sz w:val="16"/>
          <w:szCs w:val="16"/>
          <w:lang w:val="en-GB"/>
        </w:rPr>
      </w:pPr>
      <w:r w:rsidRPr="00DA193A">
        <w:rPr>
          <w:sz w:val="16"/>
          <w:szCs w:val="16"/>
          <w:u w:val="single"/>
          <w:lang w:val="en-GB"/>
        </w:rPr>
        <w:t>Note</w:t>
      </w:r>
      <w:r w:rsidRPr="00DA193A">
        <w:rPr>
          <w:sz w:val="16"/>
          <w:szCs w:val="16"/>
          <w:lang w:val="en-GB"/>
        </w:rPr>
        <w:t>: Social purposes does not include (for example) business purposes.</w:t>
      </w:r>
    </w:p>
    <w:p w14:paraId="5585F693" w14:textId="77777777" w:rsidR="005D2E14" w:rsidRPr="00DA193A" w:rsidRDefault="00FC159E" w:rsidP="00417916">
      <w:pPr>
        <w:pStyle w:val="Heading3"/>
      </w:pPr>
      <w:bookmarkStart w:id="5" w:name="_Ref174370839"/>
      <w:r w:rsidRPr="00DA193A">
        <w:rPr>
          <w:lang w:val="en-GB"/>
        </w:rPr>
        <w:t xml:space="preserve">A service is an </w:t>
      </w:r>
      <w:r w:rsidRPr="00DA193A">
        <w:rPr>
          <w:b/>
          <w:bCs/>
          <w:lang w:val="en-GB"/>
        </w:rPr>
        <w:t>exempt service</w:t>
      </w:r>
      <w:r w:rsidRPr="00DA193A">
        <w:rPr>
          <w:lang w:val="en-GB"/>
        </w:rPr>
        <w:t xml:space="preserve"> if:</w:t>
      </w:r>
      <w:bookmarkEnd w:id="5"/>
    </w:p>
    <w:p w14:paraId="0F51458A" w14:textId="77777777" w:rsidR="005D2E14" w:rsidRPr="00DA193A" w:rsidRDefault="00FC159E">
      <w:pPr>
        <w:pStyle w:val="Heading4"/>
        <w:rPr>
          <w:lang w:val="en-GB"/>
        </w:rPr>
      </w:pPr>
      <w:r w:rsidRPr="00DA193A">
        <w:rPr>
          <w:lang w:val="en-GB"/>
        </w:rPr>
        <w:t>none of the material on the service is accessible to, or delivered to, one or more end</w:t>
      </w:r>
      <w:r w:rsidRPr="00DA193A">
        <w:rPr>
          <w:rFonts w:ascii="Cambria Math" w:hAnsi="Cambria Math" w:cs="Cambria Math"/>
          <w:lang w:val="en-GB"/>
        </w:rPr>
        <w:t>‑</w:t>
      </w:r>
      <w:r w:rsidRPr="00DA193A">
        <w:rPr>
          <w:lang w:val="en-GB"/>
        </w:rPr>
        <w:t>users in Australia; or</w:t>
      </w:r>
    </w:p>
    <w:p w14:paraId="3BE57455" w14:textId="77777777" w:rsidR="005D2E14" w:rsidRPr="00DA193A" w:rsidRDefault="00FC159E">
      <w:pPr>
        <w:pStyle w:val="Heading4"/>
        <w:rPr>
          <w:lang w:val="en-GB"/>
        </w:rPr>
      </w:pPr>
      <w:r w:rsidRPr="00DA193A">
        <w:rPr>
          <w:lang w:val="en-GB"/>
        </w:rPr>
        <w:t>the service is specified in the legislative rules made under the OSA.</w:t>
      </w:r>
    </w:p>
    <w:p w14:paraId="6CACB95E" w14:textId="77777777" w:rsidR="005D2E14" w:rsidRPr="00DA193A" w:rsidRDefault="00FC159E">
      <w:pPr>
        <w:pStyle w:val="Heading3"/>
        <w:rPr>
          <w:lang w:val="en-GB"/>
        </w:rPr>
      </w:pPr>
      <w:r w:rsidRPr="00DA193A">
        <w:rPr>
          <w:lang w:val="en-GB"/>
        </w:rPr>
        <w:lastRenderedPageBreak/>
        <w:t>In determining whether the condition set out in clause </w:t>
      </w:r>
      <w:r w:rsidRPr="00DA193A">
        <w:rPr>
          <w:lang w:val="en-GB"/>
        </w:rPr>
        <w:fldChar w:fldCharType="begin"/>
      </w:r>
      <w:r w:rsidRPr="00DA193A">
        <w:rPr>
          <w:lang w:val="en-GB"/>
        </w:rPr>
        <w:instrText xml:space="preserve"> REF _Ref119595244 \w \h  \* MERGEFORMAT </w:instrText>
      </w:r>
      <w:r w:rsidRPr="00DA193A">
        <w:rPr>
          <w:lang w:val="en-GB"/>
        </w:rPr>
      </w:r>
      <w:r w:rsidRPr="00DA193A">
        <w:rPr>
          <w:lang w:val="en-GB"/>
        </w:rPr>
        <w:fldChar w:fldCharType="separate"/>
      </w:r>
      <w:r w:rsidR="006E374E">
        <w:rPr>
          <w:lang w:val="en-GB"/>
        </w:rPr>
        <w:t>3.2(a)(i)(A)</w:t>
      </w:r>
      <w:r w:rsidRPr="00DA193A">
        <w:rPr>
          <w:lang w:val="en-GB"/>
        </w:rPr>
        <w:fldChar w:fldCharType="end"/>
      </w:r>
      <w:r w:rsidRPr="00DA193A">
        <w:rPr>
          <w:lang w:val="en-GB"/>
        </w:rPr>
        <w:t xml:space="preserve"> is satisfied, disregard any of the following purposes:</w:t>
      </w:r>
    </w:p>
    <w:p w14:paraId="395038D8" w14:textId="77777777" w:rsidR="005D2E14" w:rsidRPr="00DA193A" w:rsidRDefault="00FC159E">
      <w:pPr>
        <w:pStyle w:val="Heading4"/>
        <w:rPr>
          <w:lang w:val="en-GB"/>
        </w:rPr>
      </w:pPr>
      <w:r w:rsidRPr="00DA193A">
        <w:rPr>
          <w:lang w:val="en-GB"/>
        </w:rPr>
        <w:t>the provision of advertising material on the service;</w:t>
      </w:r>
    </w:p>
    <w:p w14:paraId="55A18D4F" w14:textId="77777777" w:rsidR="00510ED9" w:rsidRPr="00430650" w:rsidRDefault="00FC159E" w:rsidP="00430650">
      <w:pPr>
        <w:pStyle w:val="Heading4"/>
      </w:pPr>
      <w:r w:rsidRPr="00DA193A">
        <w:rPr>
          <w:lang w:val="en-GB"/>
        </w:rPr>
        <w:t>the generation of revenue from the provision of advertising material on the service.</w:t>
      </w:r>
    </w:p>
    <w:p w14:paraId="31B6FD8C" w14:textId="77777777" w:rsidR="00430650" w:rsidRDefault="00FC159E" w:rsidP="00430650">
      <w:pPr>
        <w:pStyle w:val="Heading2"/>
      </w:pPr>
      <w:r>
        <w:t xml:space="preserve">Other </w:t>
      </w:r>
      <w:r w:rsidR="0093236F">
        <w:t>definitions</w:t>
      </w:r>
    </w:p>
    <w:p w14:paraId="5429A246" w14:textId="77777777" w:rsidR="00430650" w:rsidRPr="00DA193A" w:rsidRDefault="00FC159E" w:rsidP="00430650">
      <w:pPr>
        <w:pStyle w:val="Heading3"/>
      </w:pPr>
      <w:r w:rsidRPr="00DA193A">
        <w:rPr>
          <w:b/>
          <w:bCs/>
        </w:rPr>
        <w:t xml:space="preserve">messaging feature </w:t>
      </w:r>
      <w:r w:rsidRPr="00DA193A">
        <w:t>means an instant messaging feature of a social media service that enables private communication between two or more end-users of the service;</w:t>
      </w:r>
    </w:p>
    <w:p w14:paraId="5C433D08" w14:textId="77777777" w:rsidR="00430650" w:rsidRPr="00DA193A" w:rsidRDefault="00FC159E" w:rsidP="00430650">
      <w:pPr>
        <w:pStyle w:val="Heading3"/>
        <w:numPr>
          <w:ilvl w:val="0"/>
          <w:numId w:val="0"/>
        </w:numPr>
        <w:ind w:left="1474"/>
      </w:pPr>
      <w:r w:rsidRPr="00DA193A">
        <w:rPr>
          <w:sz w:val="16"/>
          <w:szCs w:val="16"/>
          <w:u w:val="single"/>
        </w:rPr>
        <w:t>Note</w:t>
      </w:r>
      <w:r w:rsidRPr="00DA193A">
        <w:rPr>
          <w:sz w:val="16"/>
          <w:szCs w:val="16"/>
        </w:rPr>
        <w:t>: A feature that enables end-users to (i) post material to their followers or community on the service or (ii) post comments in association with other content posted on a social media service, is not an instant messaging feature. These features will still be part of the social media service, but will not be treated as a ‘messaging feature’ under this Code.</w:t>
      </w:r>
    </w:p>
    <w:p w14:paraId="1A894170" w14:textId="77777777" w:rsidR="005D2E14" w:rsidRPr="00DA193A" w:rsidRDefault="00FC159E">
      <w:pPr>
        <w:pStyle w:val="Heading1"/>
        <w:rPr>
          <w:lang w:val="en-GB"/>
        </w:rPr>
      </w:pPr>
      <w:r w:rsidRPr="00DA193A">
        <w:rPr>
          <w:lang w:val="en-GB"/>
        </w:rPr>
        <w:t>Risk profile</w:t>
      </w:r>
    </w:p>
    <w:p w14:paraId="1EA01DE3" w14:textId="77777777" w:rsidR="00D1753C" w:rsidRDefault="00FC159E" w:rsidP="00D1753C">
      <w:pPr>
        <w:pStyle w:val="Heading2"/>
      </w:pPr>
      <w:bookmarkStart w:id="6" w:name="_Ref201141501"/>
      <w:bookmarkStart w:id="7" w:name="_Ref201330062"/>
      <w:bookmarkStart w:id="8" w:name="_Ref174373363"/>
      <w:r>
        <w:t>Risk assessment</w:t>
      </w:r>
      <w:bookmarkEnd w:id="6"/>
      <w:r>
        <w:t xml:space="preserve">: </w:t>
      </w:r>
      <w:bookmarkEnd w:id="7"/>
      <w:r w:rsidR="00E20540">
        <w:t>AI companion chatbot features</w:t>
      </w:r>
    </w:p>
    <w:p w14:paraId="7FA749C7" w14:textId="77777777" w:rsidR="00D1753C" w:rsidRDefault="00FC159E" w:rsidP="00D5634C">
      <w:pPr>
        <w:pStyle w:val="Heading3"/>
        <w:keepNext/>
      </w:pPr>
      <w:r>
        <w:t xml:space="preserve">Subject to clause </w:t>
      </w:r>
      <w:r w:rsidR="00404C33">
        <w:fldChar w:fldCharType="begin"/>
      </w:r>
      <w:r w:rsidR="00404C33">
        <w:instrText xml:space="preserve"> REF _Ref201329968 \w \h </w:instrText>
      </w:r>
      <w:r w:rsidR="00404C33">
        <w:fldChar w:fldCharType="separate"/>
      </w:r>
      <w:r w:rsidR="006E374E">
        <w:t>4.1(b)</w:t>
      </w:r>
      <w:r w:rsidR="00404C33">
        <w:fldChar w:fldCharType="end"/>
      </w:r>
      <w:r w:rsidR="00EC2AB2">
        <w:t xml:space="preserve"> and clause </w:t>
      </w:r>
      <w:r w:rsidR="00501A4F">
        <w:fldChar w:fldCharType="begin"/>
      </w:r>
      <w:r w:rsidR="00501A4F">
        <w:instrText xml:space="preserve"> REF _Ref119595451 \r \h </w:instrText>
      </w:r>
      <w:r w:rsidR="00501A4F">
        <w:fldChar w:fldCharType="separate"/>
      </w:r>
      <w:r w:rsidR="006E374E">
        <w:t>4.4</w:t>
      </w:r>
      <w:r w:rsidR="00501A4F">
        <w:fldChar w:fldCharType="end"/>
      </w:r>
      <w:r>
        <w:t>, the provider of a social media service that includes a</w:t>
      </w:r>
      <w:r w:rsidR="00E20540">
        <w:t>n</w:t>
      </w:r>
      <w:r>
        <w:t xml:space="preserve"> </w:t>
      </w:r>
      <w:r w:rsidR="00E20540">
        <w:t>AI companion chatbot feature</w:t>
      </w:r>
      <w:r>
        <w:t xml:space="preserve"> must undertake a risk assessment in respect of each generative AI restricted category of material in accordance with the following tables (as applicable):</w:t>
      </w:r>
    </w:p>
    <w:tbl>
      <w:tblPr>
        <w:tblW w:w="5000" w:type="pct"/>
        <w:tblBorders>
          <w:top w:val="nil"/>
          <w:left w:val="nil"/>
          <w:bottom w:val="nil"/>
          <w:right w:val="nil"/>
          <w:insideH w:val="nil"/>
          <w:insideV w:val="nil"/>
        </w:tblBorders>
        <w:tblLook w:val="0400" w:firstRow="0" w:lastRow="0" w:firstColumn="0" w:lastColumn="0" w:noHBand="0" w:noVBand="1"/>
      </w:tblPr>
      <w:tblGrid>
        <w:gridCol w:w="4894"/>
        <w:gridCol w:w="4852"/>
      </w:tblGrid>
      <w:tr w:rsidR="00367724" w14:paraId="56FDC03C" w14:textId="77777777" w:rsidTr="00ED0D59">
        <w:tc>
          <w:tcPr>
            <w:tcW w:w="2511" w:type="pct"/>
            <w:tcBorders>
              <w:top w:val="single" w:sz="12" w:space="0" w:color="000000"/>
              <w:bottom w:val="single" w:sz="12" w:space="0" w:color="000000"/>
            </w:tcBorders>
          </w:tcPr>
          <w:p w14:paraId="4FC65FF6" w14:textId="77777777" w:rsidR="00D1753C" w:rsidRDefault="00FC159E" w:rsidP="00D5634C">
            <w:pPr>
              <w:pStyle w:val="Heading3"/>
              <w:keepNext/>
              <w:numPr>
                <w:ilvl w:val="0"/>
                <w:numId w:val="0"/>
              </w:numPr>
              <w:spacing w:before="120" w:after="120"/>
              <w:rPr>
                <w:rFonts w:eastAsia="Arial"/>
                <w:b/>
              </w:rPr>
            </w:pPr>
            <w:r>
              <w:rPr>
                <w:rFonts w:eastAsia="Arial"/>
                <w:b/>
              </w:rPr>
              <w:t xml:space="preserve">If the risk that online pornography will be generated using the </w:t>
            </w:r>
            <w:r w:rsidR="00E20540">
              <w:rPr>
                <w:rFonts w:eastAsia="Arial"/>
                <w:b/>
              </w:rPr>
              <w:t>AI companion chatbot feature</w:t>
            </w:r>
            <w:r>
              <w:rPr>
                <w:rFonts w:eastAsia="Arial"/>
                <w:b/>
              </w:rPr>
              <w:t xml:space="preserve"> by Australian children is…</w:t>
            </w:r>
          </w:p>
        </w:tc>
        <w:tc>
          <w:tcPr>
            <w:tcW w:w="2489" w:type="pct"/>
            <w:tcBorders>
              <w:top w:val="single" w:sz="12" w:space="0" w:color="000000"/>
              <w:bottom w:val="single" w:sz="12" w:space="0" w:color="000000"/>
            </w:tcBorders>
          </w:tcPr>
          <w:p w14:paraId="085C4633" w14:textId="77777777" w:rsidR="00D1753C" w:rsidRDefault="00FC159E" w:rsidP="00D5634C">
            <w:pPr>
              <w:pStyle w:val="Heading3"/>
              <w:keepNext/>
              <w:numPr>
                <w:ilvl w:val="0"/>
                <w:numId w:val="0"/>
              </w:numPr>
              <w:spacing w:before="120" w:after="120"/>
              <w:rPr>
                <w:rFonts w:eastAsia="Arial"/>
                <w:b/>
              </w:rPr>
            </w:pPr>
            <w:r>
              <w:rPr>
                <w:rFonts w:eastAsia="Arial"/>
                <w:b/>
              </w:rPr>
              <w:t xml:space="preserve">the risk profile of the </w:t>
            </w:r>
            <w:r w:rsidR="00E20540">
              <w:rPr>
                <w:rFonts w:eastAsia="Arial"/>
                <w:b/>
              </w:rPr>
              <w:t>AI companion chatbot feature</w:t>
            </w:r>
            <w:r>
              <w:rPr>
                <w:rFonts w:eastAsia="Arial"/>
                <w:b/>
              </w:rPr>
              <w:t xml:space="preserve"> in relation to online pornography is …</w:t>
            </w:r>
          </w:p>
        </w:tc>
      </w:tr>
      <w:tr w:rsidR="00367724" w14:paraId="0CB1C203" w14:textId="77777777" w:rsidTr="00ED0D59">
        <w:tc>
          <w:tcPr>
            <w:tcW w:w="2511" w:type="pct"/>
            <w:tcBorders>
              <w:top w:val="single" w:sz="12" w:space="0" w:color="000000"/>
              <w:bottom w:val="single" w:sz="4" w:space="0" w:color="000000"/>
            </w:tcBorders>
          </w:tcPr>
          <w:p w14:paraId="5FC48FFE" w14:textId="77777777" w:rsidR="00D1753C" w:rsidRDefault="00FC159E" w:rsidP="00ED0D59">
            <w:pPr>
              <w:pStyle w:val="Heading3"/>
              <w:numPr>
                <w:ilvl w:val="0"/>
                <w:numId w:val="0"/>
              </w:numPr>
              <w:spacing w:before="120" w:after="120"/>
              <w:rPr>
                <w:rFonts w:eastAsia="Arial"/>
              </w:rPr>
            </w:pPr>
            <w:r>
              <w:rPr>
                <w:rFonts w:eastAsia="Arial"/>
              </w:rPr>
              <w:t xml:space="preserve">High </w:t>
            </w:r>
          </w:p>
        </w:tc>
        <w:tc>
          <w:tcPr>
            <w:tcW w:w="2489" w:type="pct"/>
            <w:tcBorders>
              <w:top w:val="single" w:sz="12" w:space="0" w:color="000000"/>
              <w:bottom w:val="single" w:sz="4" w:space="0" w:color="000000"/>
            </w:tcBorders>
          </w:tcPr>
          <w:p w14:paraId="12D4E715" w14:textId="77777777" w:rsidR="00D1753C" w:rsidRDefault="00FC159E" w:rsidP="00ED0D59">
            <w:pPr>
              <w:pStyle w:val="Heading3"/>
              <w:numPr>
                <w:ilvl w:val="0"/>
                <w:numId w:val="0"/>
              </w:numPr>
              <w:spacing w:before="120" w:after="120"/>
              <w:rPr>
                <w:rFonts w:eastAsia="Arial"/>
              </w:rPr>
            </w:pPr>
            <w:r>
              <w:rPr>
                <w:rFonts w:eastAsia="Arial"/>
              </w:rPr>
              <w:t>Tier 1</w:t>
            </w:r>
          </w:p>
        </w:tc>
      </w:tr>
      <w:tr w:rsidR="00367724" w14:paraId="00C36274" w14:textId="77777777" w:rsidTr="00ED0D59">
        <w:tc>
          <w:tcPr>
            <w:tcW w:w="2511" w:type="pct"/>
            <w:tcBorders>
              <w:top w:val="single" w:sz="4" w:space="0" w:color="000000"/>
              <w:bottom w:val="single" w:sz="4" w:space="0" w:color="000000"/>
            </w:tcBorders>
          </w:tcPr>
          <w:p w14:paraId="1A6C951B" w14:textId="77777777" w:rsidR="00D1753C" w:rsidRDefault="00FC159E" w:rsidP="00ED0D59">
            <w:pPr>
              <w:pStyle w:val="Heading3"/>
              <w:numPr>
                <w:ilvl w:val="0"/>
                <w:numId w:val="0"/>
              </w:numPr>
              <w:spacing w:before="120" w:after="120"/>
              <w:rPr>
                <w:rFonts w:eastAsia="Arial"/>
              </w:rPr>
            </w:pPr>
            <w:r>
              <w:rPr>
                <w:rFonts w:eastAsia="Arial"/>
              </w:rPr>
              <w:t>Moderate</w:t>
            </w:r>
          </w:p>
        </w:tc>
        <w:tc>
          <w:tcPr>
            <w:tcW w:w="2489" w:type="pct"/>
            <w:tcBorders>
              <w:top w:val="single" w:sz="4" w:space="0" w:color="000000"/>
              <w:bottom w:val="single" w:sz="4" w:space="0" w:color="000000"/>
            </w:tcBorders>
          </w:tcPr>
          <w:p w14:paraId="52A0E022" w14:textId="77777777" w:rsidR="00D1753C" w:rsidRDefault="00FC159E" w:rsidP="00ED0D59">
            <w:pPr>
              <w:pStyle w:val="Heading3"/>
              <w:numPr>
                <w:ilvl w:val="0"/>
                <w:numId w:val="0"/>
              </w:numPr>
              <w:spacing w:before="120" w:after="120"/>
              <w:rPr>
                <w:rFonts w:eastAsia="Arial"/>
              </w:rPr>
            </w:pPr>
            <w:r>
              <w:rPr>
                <w:rFonts w:eastAsia="Arial"/>
              </w:rPr>
              <w:t>Tier 2</w:t>
            </w:r>
          </w:p>
        </w:tc>
      </w:tr>
      <w:tr w:rsidR="00367724" w14:paraId="48472605" w14:textId="77777777" w:rsidTr="00ED0D59">
        <w:tc>
          <w:tcPr>
            <w:tcW w:w="2511" w:type="pct"/>
            <w:tcBorders>
              <w:top w:val="single" w:sz="4" w:space="0" w:color="000000"/>
              <w:bottom w:val="single" w:sz="4" w:space="0" w:color="000000"/>
            </w:tcBorders>
          </w:tcPr>
          <w:p w14:paraId="62A4B768" w14:textId="77777777" w:rsidR="00D1753C" w:rsidRDefault="00FC159E" w:rsidP="00ED0D59">
            <w:pPr>
              <w:pStyle w:val="Heading3"/>
              <w:numPr>
                <w:ilvl w:val="0"/>
                <w:numId w:val="0"/>
              </w:numPr>
              <w:spacing w:before="120" w:after="120"/>
              <w:rPr>
                <w:rFonts w:eastAsia="Arial"/>
              </w:rPr>
            </w:pPr>
            <w:r>
              <w:rPr>
                <w:rFonts w:eastAsia="Arial"/>
              </w:rPr>
              <w:t>Low</w:t>
            </w:r>
          </w:p>
        </w:tc>
        <w:tc>
          <w:tcPr>
            <w:tcW w:w="2489" w:type="pct"/>
            <w:tcBorders>
              <w:top w:val="single" w:sz="4" w:space="0" w:color="000000"/>
              <w:bottom w:val="single" w:sz="4" w:space="0" w:color="000000"/>
            </w:tcBorders>
          </w:tcPr>
          <w:p w14:paraId="641D049F" w14:textId="77777777" w:rsidR="00D1753C" w:rsidRDefault="00FC159E" w:rsidP="00ED0D59">
            <w:pPr>
              <w:pStyle w:val="Heading3"/>
              <w:numPr>
                <w:ilvl w:val="0"/>
                <w:numId w:val="0"/>
              </w:numPr>
              <w:spacing w:before="120" w:after="120"/>
              <w:rPr>
                <w:rFonts w:eastAsia="Arial"/>
              </w:rPr>
            </w:pPr>
            <w:r>
              <w:rPr>
                <w:rFonts w:eastAsia="Arial"/>
              </w:rPr>
              <w:t>Tier 3</w:t>
            </w:r>
          </w:p>
        </w:tc>
      </w:tr>
      <w:tr w:rsidR="00367724" w14:paraId="7E55AF91" w14:textId="77777777" w:rsidTr="00ED0D59">
        <w:tc>
          <w:tcPr>
            <w:tcW w:w="2511" w:type="pct"/>
            <w:tcBorders>
              <w:top w:val="single" w:sz="4" w:space="0" w:color="000000"/>
              <w:bottom w:val="single" w:sz="4" w:space="0" w:color="000000"/>
            </w:tcBorders>
          </w:tcPr>
          <w:p w14:paraId="6C8A7AFC" w14:textId="77777777" w:rsidR="00D1753C" w:rsidRDefault="00D1753C" w:rsidP="00ED0D59">
            <w:pPr>
              <w:pStyle w:val="Heading3"/>
              <w:numPr>
                <w:ilvl w:val="0"/>
                <w:numId w:val="0"/>
              </w:numPr>
              <w:spacing w:before="120" w:after="120"/>
            </w:pPr>
          </w:p>
        </w:tc>
        <w:tc>
          <w:tcPr>
            <w:tcW w:w="2489" w:type="pct"/>
            <w:tcBorders>
              <w:top w:val="single" w:sz="4" w:space="0" w:color="000000"/>
              <w:bottom w:val="single" w:sz="4" w:space="0" w:color="000000"/>
            </w:tcBorders>
          </w:tcPr>
          <w:p w14:paraId="179D0857" w14:textId="77777777" w:rsidR="00D1753C" w:rsidRDefault="00D1753C" w:rsidP="00ED0D59">
            <w:pPr>
              <w:pStyle w:val="Heading3"/>
              <w:numPr>
                <w:ilvl w:val="0"/>
                <w:numId w:val="0"/>
              </w:numPr>
              <w:spacing w:before="120" w:after="120"/>
            </w:pPr>
          </w:p>
        </w:tc>
      </w:tr>
      <w:tr w:rsidR="00367724" w14:paraId="10E27924" w14:textId="77777777" w:rsidTr="00ED0D59">
        <w:tc>
          <w:tcPr>
            <w:tcW w:w="2511" w:type="pct"/>
            <w:tcBorders>
              <w:top w:val="single" w:sz="4" w:space="0" w:color="000000"/>
              <w:bottom w:val="single" w:sz="4" w:space="0" w:color="000000"/>
            </w:tcBorders>
          </w:tcPr>
          <w:p w14:paraId="383D5632" w14:textId="77777777" w:rsidR="00D1753C" w:rsidRDefault="00FC159E" w:rsidP="00ED0D59">
            <w:pPr>
              <w:pStyle w:val="Heading3"/>
              <w:numPr>
                <w:ilvl w:val="0"/>
                <w:numId w:val="0"/>
              </w:numPr>
              <w:spacing w:before="120" w:after="120"/>
            </w:pPr>
            <w:r>
              <w:rPr>
                <w:rFonts w:eastAsia="Arial"/>
                <w:b/>
              </w:rPr>
              <w:t xml:space="preserve">If the risk that high impact sexually explicit material will be generated using the </w:t>
            </w:r>
            <w:r w:rsidR="00E20540">
              <w:rPr>
                <w:rFonts w:eastAsia="Arial"/>
                <w:b/>
              </w:rPr>
              <w:t>AI companion chatbot feature</w:t>
            </w:r>
            <w:r>
              <w:rPr>
                <w:rFonts w:eastAsia="Arial"/>
                <w:b/>
              </w:rPr>
              <w:t xml:space="preserve"> by Australian children is…</w:t>
            </w:r>
          </w:p>
        </w:tc>
        <w:tc>
          <w:tcPr>
            <w:tcW w:w="2489" w:type="pct"/>
            <w:tcBorders>
              <w:top w:val="single" w:sz="4" w:space="0" w:color="000000"/>
              <w:bottom w:val="single" w:sz="4" w:space="0" w:color="000000"/>
            </w:tcBorders>
          </w:tcPr>
          <w:p w14:paraId="24209435" w14:textId="77777777" w:rsidR="00D1753C" w:rsidRDefault="00FC159E" w:rsidP="00ED0D59">
            <w:pPr>
              <w:pStyle w:val="Heading3"/>
              <w:numPr>
                <w:ilvl w:val="0"/>
                <w:numId w:val="0"/>
              </w:numPr>
              <w:spacing w:before="120" w:after="120"/>
            </w:pPr>
            <w:r>
              <w:rPr>
                <w:rFonts w:eastAsia="Arial"/>
                <w:b/>
              </w:rPr>
              <w:t xml:space="preserve">the risk profile of the </w:t>
            </w:r>
            <w:r w:rsidR="00E20540">
              <w:rPr>
                <w:rFonts w:eastAsia="Arial"/>
                <w:b/>
              </w:rPr>
              <w:t>AI companion chatbot feature</w:t>
            </w:r>
            <w:r>
              <w:rPr>
                <w:rFonts w:eastAsia="Arial"/>
                <w:b/>
              </w:rPr>
              <w:t xml:space="preserve"> in relation to high impact sexually explicit material is …</w:t>
            </w:r>
          </w:p>
        </w:tc>
      </w:tr>
      <w:tr w:rsidR="00367724" w14:paraId="74D4FBA8" w14:textId="77777777" w:rsidTr="00ED0D59">
        <w:tc>
          <w:tcPr>
            <w:tcW w:w="2511" w:type="pct"/>
            <w:tcBorders>
              <w:top w:val="single" w:sz="4" w:space="0" w:color="000000"/>
              <w:bottom w:val="single" w:sz="4" w:space="0" w:color="000000"/>
            </w:tcBorders>
          </w:tcPr>
          <w:p w14:paraId="5B4E2348" w14:textId="77777777" w:rsidR="00D1753C" w:rsidRDefault="00FC159E" w:rsidP="00ED0D59">
            <w:pPr>
              <w:pStyle w:val="Heading3"/>
              <w:numPr>
                <w:ilvl w:val="0"/>
                <w:numId w:val="0"/>
              </w:numPr>
              <w:spacing w:before="120" w:after="120"/>
              <w:rPr>
                <w:b/>
              </w:rPr>
            </w:pPr>
            <w:r>
              <w:rPr>
                <w:rFonts w:eastAsia="Arial"/>
              </w:rPr>
              <w:t xml:space="preserve">High </w:t>
            </w:r>
          </w:p>
        </w:tc>
        <w:tc>
          <w:tcPr>
            <w:tcW w:w="2489" w:type="pct"/>
            <w:tcBorders>
              <w:top w:val="single" w:sz="4" w:space="0" w:color="000000"/>
              <w:bottom w:val="single" w:sz="4" w:space="0" w:color="000000"/>
            </w:tcBorders>
          </w:tcPr>
          <w:p w14:paraId="5FAC6CC0" w14:textId="77777777" w:rsidR="00D1753C" w:rsidRDefault="00FC159E" w:rsidP="00ED0D59">
            <w:pPr>
              <w:pStyle w:val="Heading3"/>
              <w:numPr>
                <w:ilvl w:val="0"/>
                <w:numId w:val="0"/>
              </w:numPr>
              <w:spacing w:before="120" w:after="120"/>
            </w:pPr>
            <w:r>
              <w:rPr>
                <w:rFonts w:eastAsia="Arial"/>
              </w:rPr>
              <w:t>Tier 1</w:t>
            </w:r>
          </w:p>
        </w:tc>
      </w:tr>
      <w:tr w:rsidR="00367724" w14:paraId="7EF45412" w14:textId="77777777" w:rsidTr="00ED0D59">
        <w:tc>
          <w:tcPr>
            <w:tcW w:w="2511" w:type="pct"/>
            <w:tcBorders>
              <w:top w:val="single" w:sz="4" w:space="0" w:color="000000"/>
              <w:bottom w:val="single" w:sz="4" w:space="0" w:color="000000"/>
            </w:tcBorders>
          </w:tcPr>
          <w:p w14:paraId="29C74A2D" w14:textId="77777777" w:rsidR="00D1753C" w:rsidRDefault="00FC159E" w:rsidP="00ED0D59">
            <w:pPr>
              <w:pStyle w:val="Heading3"/>
              <w:numPr>
                <w:ilvl w:val="0"/>
                <w:numId w:val="0"/>
              </w:numPr>
              <w:spacing w:before="120" w:after="120"/>
              <w:rPr>
                <w:b/>
              </w:rPr>
            </w:pPr>
            <w:r>
              <w:rPr>
                <w:rFonts w:eastAsia="Arial"/>
              </w:rPr>
              <w:t>Moderate</w:t>
            </w:r>
          </w:p>
        </w:tc>
        <w:tc>
          <w:tcPr>
            <w:tcW w:w="2489" w:type="pct"/>
            <w:tcBorders>
              <w:top w:val="single" w:sz="4" w:space="0" w:color="000000"/>
              <w:bottom w:val="single" w:sz="4" w:space="0" w:color="000000"/>
            </w:tcBorders>
          </w:tcPr>
          <w:p w14:paraId="5D757AC9" w14:textId="77777777" w:rsidR="00D1753C" w:rsidRDefault="00FC159E" w:rsidP="00ED0D59">
            <w:pPr>
              <w:pStyle w:val="Heading3"/>
              <w:numPr>
                <w:ilvl w:val="0"/>
                <w:numId w:val="0"/>
              </w:numPr>
              <w:spacing w:before="120" w:after="120"/>
            </w:pPr>
            <w:r>
              <w:rPr>
                <w:rFonts w:eastAsia="Arial"/>
              </w:rPr>
              <w:t>Tier 2</w:t>
            </w:r>
          </w:p>
        </w:tc>
      </w:tr>
      <w:tr w:rsidR="00367724" w14:paraId="446FFAC8" w14:textId="77777777" w:rsidTr="00ED0D59">
        <w:tc>
          <w:tcPr>
            <w:tcW w:w="2511" w:type="pct"/>
            <w:tcBorders>
              <w:top w:val="single" w:sz="4" w:space="0" w:color="000000"/>
              <w:bottom w:val="single" w:sz="4" w:space="0" w:color="000000"/>
            </w:tcBorders>
          </w:tcPr>
          <w:p w14:paraId="7E4A3BAF" w14:textId="77777777" w:rsidR="00D1753C" w:rsidRDefault="00FC159E" w:rsidP="00ED0D59">
            <w:pPr>
              <w:pStyle w:val="Heading3"/>
              <w:numPr>
                <w:ilvl w:val="0"/>
                <w:numId w:val="0"/>
              </w:numPr>
              <w:spacing w:before="120" w:after="120"/>
              <w:rPr>
                <w:b/>
              </w:rPr>
            </w:pPr>
            <w:r>
              <w:rPr>
                <w:rFonts w:eastAsia="Arial"/>
              </w:rPr>
              <w:t>Low</w:t>
            </w:r>
          </w:p>
        </w:tc>
        <w:tc>
          <w:tcPr>
            <w:tcW w:w="2489" w:type="pct"/>
            <w:tcBorders>
              <w:top w:val="single" w:sz="4" w:space="0" w:color="000000"/>
              <w:bottom w:val="single" w:sz="4" w:space="0" w:color="000000"/>
            </w:tcBorders>
          </w:tcPr>
          <w:p w14:paraId="00E0A03D" w14:textId="77777777" w:rsidR="00D1753C" w:rsidRDefault="00FC159E" w:rsidP="00ED0D59">
            <w:pPr>
              <w:pStyle w:val="Heading3"/>
              <w:numPr>
                <w:ilvl w:val="0"/>
                <w:numId w:val="0"/>
              </w:numPr>
              <w:spacing w:before="120" w:after="120"/>
            </w:pPr>
            <w:r>
              <w:rPr>
                <w:rFonts w:eastAsia="Arial"/>
              </w:rPr>
              <w:t>Tier 3</w:t>
            </w:r>
          </w:p>
        </w:tc>
      </w:tr>
      <w:tr w:rsidR="00367724" w14:paraId="716A5E83" w14:textId="77777777" w:rsidTr="00ED0D59">
        <w:tc>
          <w:tcPr>
            <w:tcW w:w="2511" w:type="pct"/>
            <w:tcBorders>
              <w:top w:val="single" w:sz="4" w:space="0" w:color="000000"/>
              <w:bottom w:val="single" w:sz="4" w:space="0" w:color="000000"/>
            </w:tcBorders>
          </w:tcPr>
          <w:p w14:paraId="16F4B476" w14:textId="77777777" w:rsidR="00D1753C" w:rsidRDefault="00D1753C" w:rsidP="00ED0D59">
            <w:pPr>
              <w:pStyle w:val="Heading3"/>
              <w:numPr>
                <w:ilvl w:val="0"/>
                <w:numId w:val="0"/>
              </w:numPr>
              <w:spacing w:before="120" w:after="120"/>
              <w:rPr>
                <w:b/>
              </w:rPr>
            </w:pPr>
          </w:p>
        </w:tc>
        <w:tc>
          <w:tcPr>
            <w:tcW w:w="2489" w:type="pct"/>
            <w:tcBorders>
              <w:top w:val="single" w:sz="4" w:space="0" w:color="000000"/>
              <w:bottom w:val="single" w:sz="4" w:space="0" w:color="000000"/>
            </w:tcBorders>
          </w:tcPr>
          <w:p w14:paraId="44BBBDBA" w14:textId="77777777" w:rsidR="00D1753C" w:rsidRDefault="00D1753C" w:rsidP="00ED0D59">
            <w:pPr>
              <w:pStyle w:val="Heading3"/>
              <w:numPr>
                <w:ilvl w:val="0"/>
                <w:numId w:val="0"/>
              </w:numPr>
              <w:spacing w:before="120" w:after="120"/>
            </w:pPr>
          </w:p>
        </w:tc>
      </w:tr>
      <w:tr w:rsidR="00367724" w14:paraId="0733A4DA" w14:textId="77777777" w:rsidTr="00ED0D59">
        <w:tc>
          <w:tcPr>
            <w:tcW w:w="2511" w:type="pct"/>
            <w:tcBorders>
              <w:top w:val="single" w:sz="4" w:space="0" w:color="000000"/>
              <w:bottom w:val="single" w:sz="4" w:space="0" w:color="000000"/>
            </w:tcBorders>
          </w:tcPr>
          <w:p w14:paraId="18B8AE8B" w14:textId="77777777" w:rsidR="00D1753C" w:rsidRDefault="00FC159E" w:rsidP="00F97AB0">
            <w:pPr>
              <w:pStyle w:val="Heading3"/>
              <w:keepNext/>
              <w:numPr>
                <w:ilvl w:val="0"/>
                <w:numId w:val="0"/>
              </w:numPr>
              <w:spacing w:before="120" w:after="120"/>
              <w:rPr>
                <w:b/>
              </w:rPr>
            </w:pPr>
            <w:r>
              <w:rPr>
                <w:rFonts w:eastAsia="Arial"/>
                <w:b/>
              </w:rPr>
              <w:lastRenderedPageBreak/>
              <w:t xml:space="preserve">If the risk that self-harm material will be generated using the </w:t>
            </w:r>
            <w:r w:rsidR="00E20540">
              <w:rPr>
                <w:rFonts w:eastAsia="Arial"/>
                <w:b/>
              </w:rPr>
              <w:t>AI companion chatbot feature</w:t>
            </w:r>
            <w:r>
              <w:rPr>
                <w:rFonts w:eastAsia="Arial"/>
                <w:b/>
              </w:rPr>
              <w:t xml:space="preserve"> by Australian children is…</w:t>
            </w:r>
          </w:p>
        </w:tc>
        <w:tc>
          <w:tcPr>
            <w:tcW w:w="2489" w:type="pct"/>
            <w:tcBorders>
              <w:top w:val="single" w:sz="4" w:space="0" w:color="000000"/>
              <w:bottom w:val="single" w:sz="4" w:space="0" w:color="000000"/>
            </w:tcBorders>
          </w:tcPr>
          <w:p w14:paraId="000CD428" w14:textId="77777777" w:rsidR="00D1753C" w:rsidRDefault="00FC159E" w:rsidP="00F97AB0">
            <w:pPr>
              <w:pStyle w:val="Heading3"/>
              <w:keepNext/>
              <w:numPr>
                <w:ilvl w:val="0"/>
                <w:numId w:val="0"/>
              </w:numPr>
              <w:spacing w:before="120" w:after="120"/>
            </w:pPr>
            <w:r>
              <w:rPr>
                <w:rFonts w:eastAsia="Arial"/>
                <w:b/>
              </w:rPr>
              <w:t xml:space="preserve">the risk profile of the </w:t>
            </w:r>
            <w:r w:rsidR="00E20540">
              <w:rPr>
                <w:rFonts w:eastAsia="Arial"/>
                <w:b/>
              </w:rPr>
              <w:t>AI companion chatbot feature</w:t>
            </w:r>
            <w:r>
              <w:rPr>
                <w:rFonts w:eastAsia="Arial"/>
                <w:b/>
              </w:rPr>
              <w:t xml:space="preserve"> in relation to self-harm material is …</w:t>
            </w:r>
          </w:p>
        </w:tc>
      </w:tr>
      <w:tr w:rsidR="00367724" w14:paraId="0ACF7B9F" w14:textId="77777777" w:rsidTr="00ED0D59">
        <w:tc>
          <w:tcPr>
            <w:tcW w:w="2511" w:type="pct"/>
            <w:tcBorders>
              <w:top w:val="single" w:sz="4" w:space="0" w:color="000000"/>
              <w:bottom w:val="single" w:sz="4" w:space="0" w:color="000000"/>
            </w:tcBorders>
          </w:tcPr>
          <w:p w14:paraId="6347FA03" w14:textId="77777777" w:rsidR="00D1753C" w:rsidRDefault="00FC159E" w:rsidP="00F97AB0">
            <w:pPr>
              <w:pStyle w:val="Heading3"/>
              <w:keepNext/>
              <w:numPr>
                <w:ilvl w:val="0"/>
                <w:numId w:val="0"/>
              </w:numPr>
              <w:spacing w:before="120" w:after="120"/>
              <w:rPr>
                <w:b/>
              </w:rPr>
            </w:pPr>
            <w:r>
              <w:rPr>
                <w:rFonts w:eastAsia="Arial"/>
              </w:rPr>
              <w:t xml:space="preserve">High </w:t>
            </w:r>
          </w:p>
        </w:tc>
        <w:tc>
          <w:tcPr>
            <w:tcW w:w="2489" w:type="pct"/>
            <w:tcBorders>
              <w:top w:val="single" w:sz="4" w:space="0" w:color="000000"/>
              <w:bottom w:val="single" w:sz="4" w:space="0" w:color="000000"/>
            </w:tcBorders>
          </w:tcPr>
          <w:p w14:paraId="5B4F4323" w14:textId="77777777" w:rsidR="00D1753C" w:rsidRDefault="00FC159E" w:rsidP="00F97AB0">
            <w:pPr>
              <w:pStyle w:val="Heading3"/>
              <w:keepNext/>
              <w:numPr>
                <w:ilvl w:val="0"/>
                <w:numId w:val="0"/>
              </w:numPr>
              <w:spacing w:before="120" w:after="120"/>
            </w:pPr>
            <w:r>
              <w:rPr>
                <w:rFonts w:eastAsia="Arial"/>
              </w:rPr>
              <w:t>Tier 1</w:t>
            </w:r>
          </w:p>
        </w:tc>
      </w:tr>
      <w:tr w:rsidR="00367724" w14:paraId="4869CA05" w14:textId="77777777" w:rsidTr="00ED0D59">
        <w:tc>
          <w:tcPr>
            <w:tcW w:w="2511" w:type="pct"/>
            <w:tcBorders>
              <w:top w:val="single" w:sz="4" w:space="0" w:color="000000"/>
              <w:bottom w:val="single" w:sz="4" w:space="0" w:color="000000"/>
            </w:tcBorders>
          </w:tcPr>
          <w:p w14:paraId="54C6376F" w14:textId="77777777" w:rsidR="00D1753C" w:rsidRDefault="00FC159E" w:rsidP="00F97AB0">
            <w:pPr>
              <w:pStyle w:val="Heading3"/>
              <w:keepNext/>
              <w:numPr>
                <w:ilvl w:val="0"/>
                <w:numId w:val="0"/>
              </w:numPr>
              <w:spacing w:before="120" w:after="120"/>
              <w:rPr>
                <w:b/>
              </w:rPr>
            </w:pPr>
            <w:r>
              <w:rPr>
                <w:rFonts w:eastAsia="Arial"/>
              </w:rPr>
              <w:t>Moderate</w:t>
            </w:r>
          </w:p>
        </w:tc>
        <w:tc>
          <w:tcPr>
            <w:tcW w:w="2489" w:type="pct"/>
            <w:tcBorders>
              <w:top w:val="single" w:sz="4" w:space="0" w:color="000000"/>
              <w:bottom w:val="single" w:sz="4" w:space="0" w:color="000000"/>
            </w:tcBorders>
          </w:tcPr>
          <w:p w14:paraId="534991C3" w14:textId="77777777" w:rsidR="00D1753C" w:rsidRDefault="00FC159E" w:rsidP="00F97AB0">
            <w:pPr>
              <w:pStyle w:val="Heading3"/>
              <w:keepNext/>
              <w:numPr>
                <w:ilvl w:val="0"/>
                <w:numId w:val="0"/>
              </w:numPr>
              <w:spacing w:before="120" w:after="120"/>
            </w:pPr>
            <w:r>
              <w:rPr>
                <w:rFonts w:eastAsia="Arial"/>
              </w:rPr>
              <w:t>Tier 2</w:t>
            </w:r>
          </w:p>
        </w:tc>
      </w:tr>
      <w:tr w:rsidR="00367724" w14:paraId="498B25FB" w14:textId="77777777" w:rsidTr="00ED0D59">
        <w:tc>
          <w:tcPr>
            <w:tcW w:w="2511" w:type="pct"/>
            <w:tcBorders>
              <w:top w:val="single" w:sz="4" w:space="0" w:color="000000"/>
              <w:bottom w:val="single" w:sz="4" w:space="0" w:color="000000"/>
            </w:tcBorders>
          </w:tcPr>
          <w:p w14:paraId="1D77F60A" w14:textId="77777777" w:rsidR="00D1753C" w:rsidRDefault="00FC159E" w:rsidP="00F97AB0">
            <w:pPr>
              <w:pStyle w:val="Heading3"/>
              <w:keepNext/>
              <w:numPr>
                <w:ilvl w:val="0"/>
                <w:numId w:val="0"/>
              </w:numPr>
              <w:spacing w:before="120" w:after="120"/>
              <w:rPr>
                <w:b/>
              </w:rPr>
            </w:pPr>
            <w:r>
              <w:rPr>
                <w:rFonts w:eastAsia="Arial"/>
              </w:rPr>
              <w:t>Low</w:t>
            </w:r>
          </w:p>
        </w:tc>
        <w:tc>
          <w:tcPr>
            <w:tcW w:w="2489" w:type="pct"/>
            <w:tcBorders>
              <w:top w:val="single" w:sz="4" w:space="0" w:color="000000"/>
              <w:bottom w:val="single" w:sz="4" w:space="0" w:color="000000"/>
            </w:tcBorders>
          </w:tcPr>
          <w:p w14:paraId="1E269768" w14:textId="77777777" w:rsidR="00D1753C" w:rsidRDefault="00FC159E" w:rsidP="00F97AB0">
            <w:pPr>
              <w:pStyle w:val="Heading3"/>
              <w:keepNext/>
              <w:numPr>
                <w:ilvl w:val="0"/>
                <w:numId w:val="0"/>
              </w:numPr>
              <w:spacing w:before="120" w:after="120"/>
            </w:pPr>
            <w:r>
              <w:rPr>
                <w:rFonts w:eastAsia="Arial"/>
              </w:rPr>
              <w:t>Tier 3</w:t>
            </w:r>
          </w:p>
        </w:tc>
      </w:tr>
      <w:tr w:rsidR="00367724" w14:paraId="4079B58E" w14:textId="77777777" w:rsidTr="00ED0D59">
        <w:tc>
          <w:tcPr>
            <w:tcW w:w="2511" w:type="pct"/>
            <w:tcBorders>
              <w:top w:val="single" w:sz="4" w:space="0" w:color="000000"/>
              <w:bottom w:val="single" w:sz="4" w:space="0" w:color="000000"/>
            </w:tcBorders>
          </w:tcPr>
          <w:p w14:paraId="7A3CE6AC" w14:textId="77777777" w:rsidR="00D1753C" w:rsidRDefault="00D1753C" w:rsidP="00ED0D59">
            <w:pPr>
              <w:pStyle w:val="Heading3"/>
              <w:numPr>
                <w:ilvl w:val="0"/>
                <w:numId w:val="0"/>
              </w:numPr>
              <w:spacing w:before="120" w:after="120"/>
            </w:pPr>
          </w:p>
        </w:tc>
        <w:tc>
          <w:tcPr>
            <w:tcW w:w="2489" w:type="pct"/>
            <w:tcBorders>
              <w:top w:val="single" w:sz="4" w:space="0" w:color="000000"/>
              <w:bottom w:val="single" w:sz="4" w:space="0" w:color="000000"/>
            </w:tcBorders>
          </w:tcPr>
          <w:p w14:paraId="0D6A422F" w14:textId="77777777" w:rsidR="00D1753C" w:rsidRDefault="00D1753C" w:rsidP="00ED0D59">
            <w:pPr>
              <w:pStyle w:val="Heading3"/>
              <w:numPr>
                <w:ilvl w:val="0"/>
                <w:numId w:val="0"/>
              </w:numPr>
              <w:spacing w:before="120" w:after="120"/>
            </w:pPr>
          </w:p>
        </w:tc>
      </w:tr>
      <w:tr w:rsidR="00367724" w14:paraId="6506763E" w14:textId="77777777" w:rsidTr="00ED0D59">
        <w:tc>
          <w:tcPr>
            <w:tcW w:w="2511" w:type="pct"/>
            <w:tcBorders>
              <w:top w:val="single" w:sz="4" w:space="0" w:color="000000"/>
              <w:bottom w:val="single" w:sz="4" w:space="0" w:color="000000"/>
            </w:tcBorders>
          </w:tcPr>
          <w:p w14:paraId="1836D012" w14:textId="77777777" w:rsidR="00D1753C" w:rsidRDefault="00FC159E" w:rsidP="00ED0D59">
            <w:pPr>
              <w:pStyle w:val="Heading3"/>
              <w:numPr>
                <w:ilvl w:val="0"/>
                <w:numId w:val="0"/>
              </w:numPr>
              <w:spacing w:before="120" w:after="120"/>
              <w:rPr>
                <w:b/>
              </w:rPr>
            </w:pPr>
            <w:r>
              <w:rPr>
                <w:rFonts w:eastAsia="Arial"/>
                <w:b/>
              </w:rPr>
              <w:t xml:space="preserve">If the risk that high impact violence material will be generated using the </w:t>
            </w:r>
            <w:r w:rsidR="00E20540">
              <w:rPr>
                <w:rFonts w:eastAsia="Arial"/>
                <w:b/>
              </w:rPr>
              <w:t>AI companion chatbot feature</w:t>
            </w:r>
            <w:r>
              <w:rPr>
                <w:rFonts w:eastAsia="Arial"/>
                <w:b/>
              </w:rPr>
              <w:t xml:space="preserve"> by Australian children is…</w:t>
            </w:r>
          </w:p>
        </w:tc>
        <w:tc>
          <w:tcPr>
            <w:tcW w:w="2489" w:type="pct"/>
            <w:tcBorders>
              <w:top w:val="single" w:sz="4" w:space="0" w:color="000000"/>
              <w:bottom w:val="single" w:sz="4" w:space="0" w:color="000000"/>
            </w:tcBorders>
          </w:tcPr>
          <w:p w14:paraId="09D900F5" w14:textId="77777777" w:rsidR="00D1753C" w:rsidRDefault="00FC159E" w:rsidP="00ED0D59">
            <w:pPr>
              <w:pStyle w:val="Heading3"/>
              <w:numPr>
                <w:ilvl w:val="0"/>
                <w:numId w:val="0"/>
              </w:numPr>
              <w:spacing w:before="120" w:after="120"/>
            </w:pPr>
            <w:r>
              <w:rPr>
                <w:rFonts w:eastAsia="Arial"/>
                <w:b/>
              </w:rPr>
              <w:t xml:space="preserve">the risk profile of the </w:t>
            </w:r>
            <w:r w:rsidR="00E20540">
              <w:rPr>
                <w:rFonts w:eastAsia="Arial"/>
                <w:b/>
              </w:rPr>
              <w:t>AI companion chatbot feature</w:t>
            </w:r>
            <w:r>
              <w:rPr>
                <w:rFonts w:eastAsia="Arial"/>
                <w:b/>
              </w:rPr>
              <w:t xml:space="preserve"> in relation to high impact violence material is …</w:t>
            </w:r>
          </w:p>
        </w:tc>
      </w:tr>
      <w:tr w:rsidR="00367724" w14:paraId="5FAB97D6" w14:textId="77777777" w:rsidTr="00ED0D59">
        <w:tc>
          <w:tcPr>
            <w:tcW w:w="2511" w:type="pct"/>
            <w:tcBorders>
              <w:top w:val="single" w:sz="4" w:space="0" w:color="000000"/>
              <w:bottom w:val="single" w:sz="4" w:space="0" w:color="000000"/>
            </w:tcBorders>
          </w:tcPr>
          <w:p w14:paraId="43F30E0D" w14:textId="77777777" w:rsidR="00D1753C" w:rsidRDefault="00FC159E" w:rsidP="00ED0D59">
            <w:pPr>
              <w:pStyle w:val="Heading3"/>
              <w:numPr>
                <w:ilvl w:val="0"/>
                <w:numId w:val="0"/>
              </w:numPr>
              <w:spacing w:before="120" w:after="120"/>
              <w:rPr>
                <w:b/>
              </w:rPr>
            </w:pPr>
            <w:r>
              <w:rPr>
                <w:rFonts w:eastAsia="Arial"/>
              </w:rPr>
              <w:t xml:space="preserve">High </w:t>
            </w:r>
          </w:p>
        </w:tc>
        <w:tc>
          <w:tcPr>
            <w:tcW w:w="2489" w:type="pct"/>
            <w:tcBorders>
              <w:top w:val="single" w:sz="4" w:space="0" w:color="000000"/>
              <w:bottom w:val="single" w:sz="4" w:space="0" w:color="000000"/>
            </w:tcBorders>
          </w:tcPr>
          <w:p w14:paraId="5E6EE748" w14:textId="77777777" w:rsidR="00D1753C" w:rsidRDefault="00FC159E" w:rsidP="00ED0D59">
            <w:pPr>
              <w:pStyle w:val="Heading3"/>
              <w:numPr>
                <w:ilvl w:val="0"/>
                <w:numId w:val="0"/>
              </w:numPr>
              <w:spacing w:before="120" w:after="120"/>
            </w:pPr>
            <w:r>
              <w:rPr>
                <w:rFonts w:eastAsia="Arial"/>
              </w:rPr>
              <w:t>Tier 1</w:t>
            </w:r>
          </w:p>
        </w:tc>
      </w:tr>
      <w:tr w:rsidR="00367724" w14:paraId="11983683" w14:textId="77777777" w:rsidTr="00ED0D59">
        <w:tc>
          <w:tcPr>
            <w:tcW w:w="2511" w:type="pct"/>
            <w:tcBorders>
              <w:top w:val="single" w:sz="4" w:space="0" w:color="000000"/>
              <w:bottom w:val="single" w:sz="4" w:space="0" w:color="000000"/>
            </w:tcBorders>
          </w:tcPr>
          <w:p w14:paraId="54ECCF0C" w14:textId="77777777" w:rsidR="00D1753C" w:rsidRDefault="00FC159E" w:rsidP="00ED0D59">
            <w:pPr>
              <w:pStyle w:val="Heading3"/>
              <w:numPr>
                <w:ilvl w:val="0"/>
                <w:numId w:val="0"/>
              </w:numPr>
              <w:spacing w:before="120" w:after="120"/>
              <w:rPr>
                <w:b/>
              </w:rPr>
            </w:pPr>
            <w:r>
              <w:rPr>
                <w:rFonts w:eastAsia="Arial"/>
              </w:rPr>
              <w:t>Moderate</w:t>
            </w:r>
          </w:p>
        </w:tc>
        <w:tc>
          <w:tcPr>
            <w:tcW w:w="2489" w:type="pct"/>
            <w:tcBorders>
              <w:top w:val="single" w:sz="4" w:space="0" w:color="000000"/>
              <w:bottom w:val="single" w:sz="4" w:space="0" w:color="000000"/>
            </w:tcBorders>
          </w:tcPr>
          <w:p w14:paraId="1BCFE531" w14:textId="77777777" w:rsidR="00D1753C" w:rsidRDefault="00FC159E" w:rsidP="00ED0D59">
            <w:pPr>
              <w:pStyle w:val="Heading3"/>
              <w:numPr>
                <w:ilvl w:val="0"/>
                <w:numId w:val="0"/>
              </w:numPr>
              <w:spacing w:before="120" w:after="120"/>
            </w:pPr>
            <w:r>
              <w:rPr>
                <w:rFonts w:eastAsia="Arial"/>
              </w:rPr>
              <w:t>Tier 2</w:t>
            </w:r>
          </w:p>
        </w:tc>
      </w:tr>
      <w:tr w:rsidR="00367724" w14:paraId="21CEC160" w14:textId="77777777" w:rsidTr="00ED0D59">
        <w:tc>
          <w:tcPr>
            <w:tcW w:w="2511" w:type="pct"/>
            <w:tcBorders>
              <w:top w:val="single" w:sz="4" w:space="0" w:color="000000"/>
              <w:bottom w:val="single" w:sz="4" w:space="0" w:color="000000"/>
            </w:tcBorders>
          </w:tcPr>
          <w:p w14:paraId="176FEB6D" w14:textId="77777777" w:rsidR="00D1753C" w:rsidRDefault="00FC159E" w:rsidP="00ED0D59">
            <w:pPr>
              <w:pStyle w:val="Heading3"/>
              <w:numPr>
                <w:ilvl w:val="0"/>
                <w:numId w:val="0"/>
              </w:numPr>
              <w:spacing w:before="120" w:after="120"/>
              <w:rPr>
                <w:b/>
              </w:rPr>
            </w:pPr>
            <w:r>
              <w:rPr>
                <w:rFonts w:eastAsia="Arial"/>
              </w:rPr>
              <w:t>Low</w:t>
            </w:r>
          </w:p>
        </w:tc>
        <w:tc>
          <w:tcPr>
            <w:tcW w:w="2489" w:type="pct"/>
            <w:tcBorders>
              <w:top w:val="single" w:sz="4" w:space="0" w:color="000000"/>
              <w:bottom w:val="single" w:sz="4" w:space="0" w:color="000000"/>
            </w:tcBorders>
          </w:tcPr>
          <w:p w14:paraId="3BA7720A" w14:textId="77777777" w:rsidR="00D1753C" w:rsidRDefault="00FC159E" w:rsidP="00ED0D59">
            <w:pPr>
              <w:pStyle w:val="Heading3"/>
              <w:numPr>
                <w:ilvl w:val="0"/>
                <w:numId w:val="0"/>
              </w:numPr>
              <w:spacing w:before="120" w:after="120"/>
            </w:pPr>
            <w:r>
              <w:rPr>
                <w:rFonts w:eastAsia="Arial"/>
              </w:rPr>
              <w:t>Tier 3</w:t>
            </w:r>
          </w:p>
        </w:tc>
      </w:tr>
      <w:tr w:rsidR="00367724" w14:paraId="744FCF48" w14:textId="77777777" w:rsidTr="00ED0D59">
        <w:tc>
          <w:tcPr>
            <w:tcW w:w="2511" w:type="pct"/>
            <w:tcBorders>
              <w:top w:val="single" w:sz="4" w:space="0" w:color="000000"/>
              <w:bottom w:val="single" w:sz="4" w:space="0" w:color="000000"/>
            </w:tcBorders>
          </w:tcPr>
          <w:p w14:paraId="13DD4E41" w14:textId="77777777" w:rsidR="00D1753C" w:rsidRDefault="00D1753C" w:rsidP="00ED0D59">
            <w:pPr>
              <w:pStyle w:val="Heading3"/>
              <w:numPr>
                <w:ilvl w:val="0"/>
                <w:numId w:val="0"/>
              </w:numPr>
              <w:spacing w:before="120" w:after="120"/>
            </w:pPr>
          </w:p>
        </w:tc>
        <w:tc>
          <w:tcPr>
            <w:tcW w:w="2489" w:type="pct"/>
            <w:tcBorders>
              <w:top w:val="single" w:sz="4" w:space="0" w:color="000000"/>
              <w:bottom w:val="single" w:sz="4" w:space="0" w:color="000000"/>
            </w:tcBorders>
          </w:tcPr>
          <w:p w14:paraId="2C0FC6F1" w14:textId="77777777" w:rsidR="00D1753C" w:rsidRDefault="00D1753C" w:rsidP="00ED0D59">
            <w:pPr>
              <w:pStyle w:val="Heading3"/>
              <w:numPr>
                <w:ilvl w:val="0"/>
                <w:numId w:val="0"/>
              </w:numPr>
              <w:spacing w:before="120" w:after="120"/>
            </w:pPr>
          </w:p>
        </w:tc>
      </w:tr>
      <w:tr w:rsidR="00367724" w14:paraId="7B714A9B" w14:textId="77777777" w:rsidTr="00ED0D59">
        <w:tc>
          <w:tcPr>
            <w:tcW w:w="2511" w:type="pct"/>
            <w:tcBorders>
              <w:top w:val="single" w:sz="4" w:space="0" w:color="000000"/>
              <w:bottom w:val="single" w:sz="4" w:space="0" w:color="000000"/>
            </w:tcBorders>
          </w:tcPr>
          <w:p w14:paraId="34D00527" w14:textId="77777777" w:rsidR="00D1753C" w:rsidRDefault="00FC159E" w:rsidP="00ED0D59">
            <w:pPr>
              <w:pStyle w:val="Heading3"/>
              <w:numPr>
                <w:ilvl w:val="0"/>
                <w:numId w:val="0"/>
              </w:numPr>
              <w:spacing w:before="120" w:after="120"/>
              <w:rPr>
                <w:b/>
              </w:rPr>
            </w:pPr>
            <w:r>
              <w:rPr>
                <w:rFonts w:eastAsia="Arial"/>
                <w:b/>
              </w:rPr>
              <w:t xml:space="preserve">If the risk that violence instruction material will be generated using the </w:t>
            </w:r>
            <w:r w:rsidR="00E20540">
              <w:rPr>
                <w:rFonts w:eastAsia="Arial"/>
                <w:b/>
              </w:rPr>
              <w:t>AI companion chatbot feature</w:t>
            </w:r>
            <w:r>
              <w:rPr>
                <w:rFonts w:eastAsia="Arial"/>
                <w:b/>
              </w:rPr>
              <w:t xml:space="preserve"> by Australian children is…</w:t>
            </w:r>
          </w:p>
        </w:tc>
        <w:tc>
          <w:tcPr>
            <w:tcW w:w="2489" w:type="pct"/>
            <w:tcBorders>
              <w:top w:val="single" w:sz="4" w:space="0" w:color="000000"/>
              <w:bottom w:val="single" w:sz="4" w:space="0" w:color="000000"/>
            </w:tcBorders>
          </w:tcPr>
          <w:p w14:paraId="2B6276B8" w14:textId="77777777" w:rsidR="00D1753C" w:rsidRDefault="00FC159E" w:rsidP="00ED0D59">
            <w:pPr>
              <w:pStyle w:val="Heading3"/>
              <w:numPr>
                <w:ilvl w:val="0"/>
                <w:numId w:val="0"/>
              </w:numPr>
              <w:spacing w:before="120" w:after="120"/>
            </w:pPr>
            <w:r>
              <w:rPr>
                <w:rFonts w:eastAsia="Arial"/>
                <w:b/>
              </w:rPr>
              <w:t xml:space="preserve">the risk profile of the </w:t>
            </w:r>
            <w:r w:rsidR="00E20540">
              <w:rPr>
                <w:rFonts w:eastAsia="Arial"/>
                <w:b/>
              </w:rPr>
              <w:t>AI companion chatbot feature</w:t>
            </w:r>
            <w:r>
              <w:rPr>
                <w:rFonts w:eastAsia="Arial"/>
                <w:b/>
              </w:rPr>
              <w:t xml:space="preserve"> in relation to violence instruction material is …</w:t>
            </w:r>
          </w:p>
        </w:tc>
      </w:tr>
      <w:tr w:rsidR="00367724" w14:paraId="00AFF8B1" w14:textId="77777777" w:rsidTr="00ED0D59">
        <w:tc>
          <w:tcPr>
            <w:tcW w:w="2511" w:type="pct"/>
            <w:tcBorders>
              <w:top w:val="single" w:sz="4" w:space="0" w:color="000000"/>
              <w:bottom w:val="single" w:sz="4" w:space="0" w:color="000000"/>
            </w:tcBorders>
          </w:tcPr>
          <w:p w14:paraId="44480D60" w14:textId="77777777" w:rsidR="00D1753C" w:rsidRDefault="00FC159E" w:rsidP="00ED0D59">
            <w:pPr>
              <w:pStyle w:val="Heading3"/>
              <w:numPr>
                <w:ilvl w:val="0"/>
                <w:numId w:val="0"/>
              </w:numPr>
              <w:spacing w:before="120" w:after="120"/>
              <w:rPr>
                <w:b/>
              </w:rPr>
            </w:pPr>
            <w:r>
              <w:rPr>
                <w:rFonts w:eastAsia="Arial"/>
              </w:rPr>
              <w:t xml:space="preserve">High </w:t>
            </w:r>
          </w:p>
        </w:tc>
        <w:tc>
          <w:tcPr>
            <w:tcW w:w="2489" w:type="pct"/>
            <w:tcBorders>
              <w:top w:val="single" w:sz="4" w:space="0" w:color="000000"/>
              <w:bottom w:val="single" w:sz="4" w:space="0" w:color="000000"/>
            </w:tcBorders>
          </w:tcPr>
          <w:p w14:paraId="1B35F977" w14:textId="77777777" w:rsidR="00D1753C" w:rsidRDefault="00FC159E" w:rsidP="00ED0D59">
            <w:pPr>
              <w:pStyle w:val="Heading3"/>
              <w:numPr>
                <w:ilvl w:val="0"/>
                <w:numId w:val="0"/>
              </w:numPr>
              <w:spacing w:before="120" w:after="120"/>
            </w:pPr>
            <w:r>
              <w:rPr>
                <w:rFonts w:eastAsia="Arial"/>
              </w:rPr>
              <w:t>Tier 1</w:t>
            </w:r>
          </w:p>
        </w:tc>
      </w:tr>
      <w:tr w:rsidR="00367724" w14:paraId="1308A618" w14:textId="77777777" w:rsidTr="00ED0D59">
        <w:tc>
          <w:tcPr>
            <w:tcW w:w="2511" w:type="pct"/>
            <w:tcBorders>
              <w:top w:val="single" w:sz="4" w:space="0" w:color="000000"/>
              <w:bottom w:val="single" w:sz="4" w:space="0" w:color="000000"/>
            </w:tcBorders>
          </w:tcPr>
          <w:p w14:paraId="79E44316" w14:textId="77777777" w:rsidR="00D1753C" w:rsidRDefault="00FC159E" w:rsidP="00ED0D59">
            <w:pPr>
              <w:pStyle w:val="Heading3"/>
              <w:numPr>
                <w:ilvl w:val="0"/>
                <w:numId w:val="0"/>
              </w:numPr>
              <w:spacing w:before="120" w:after="120"/>
              <w:rPr>
                <w:b/>
              </w:rPr>
            </w:pPr>
            <w:r>
              <w:rPr>
                <w:rFonts w:eastAsia="Arial"/>
              </w:rPr>
              <w:t>Moderate</w:t>
            </w:r>
          </w:p>
        </w:tc>
        <w:tc>
          <w:tcPr>
            <w:tcW w:w="2489" w:type="pct"/>
            <w:tcBorders>
              <w:top w:val="single" w:sz="4" w:space="0" w:color="000000"/>
              <w:bottom w:val="single" w:sz="4" w:space="0" w:color="000000"/>
            </w:tcBorders>
          </w:tcPr>
          <w:p w14:paraId="44EEAA50" w14:textId="77777777" w:rsidR="00D1753C" w:rsidRDefault="00FC159E" w:rsidP="00ED0D59">
            <w:pPr>
              <w:pStyle w:val="Heading3"/>
              <w:numPr>
                <w:ilvl w:val="0"/>
                <w:numId w:val="0"/>
              </w:numPr>
              <w:spacing w:before="120" w:after="120"/>
            </w:pPr>
            <w:r>
              <w:rPr>
                <w:rFonts w:eastAsia="Arial"/>
              </w:rPr>
              <w:t>Tier 2</w:t>
            </w:r>
          </w:p>
        </w:tc>
      </w:tr>
      <w:tr w:rsidR="00367724" w14:paraId="0BA8D3CD" w14:textId="77777777" w:rsidTr="00ED0D59">
        <w:tc>
          <w:tcPr>
            <w:tcW w:w="2511" w:type="pct"/>
            <w:tcBorders>
              <w:top w:val="single" w:sz="4" w:space="0" w:color="000000"/>
              <w:bottom w:val="single" w:sz="4" w:space="0" w:color="000000"/>
            </w:tcBorders>
          </w:tcPr>
          <w:p w14:paraId="4DD890D4" w14:textId="77777777" w:rsidR="00D1753C" w:rsidRDefault="00FC159E" w:rsidP="00ED0D59">
            <w:pPr>
              <w:pStyle w:val="Heading3"/>
              <w:numPr>
                <w:ilvl w:val="0"/>
                <w:numId w:val="0"/>
              </w:numPr>
              <w:spacing w:before="120" w:after="120"/>
              <w:rPr>
                <w:b/>
              </w:rPr>
            </w:pPr>
            <w:r>
              <w:rPr>
                <w:rFonts w:eastAsia="Arial"/>
              </w:rPr>
              <w:t>Low</w:t>
            </w:r>
          </w:p>
        </w:tc>
        <w:tc>
          <w:tcPr>
            <w:tcW w:w="2489" w:type="pct"/>
            <w:tcBorders>
              <w:top w:val="single" w:sz="4" w:space="0" w:color="000000"/>
              <w:bottom w:val="single" w:sz="4" w:space="0" w:color="000000"/>
            </w:tcBorders>
          </w:tcPr>
          <w:p w14:paraId="0838F201" w14:textId="77777777" w:rsidR="00D1753C" w:rsidRDefault="00FC159E" w:rsidP="00ED0D59">
            <w:pPr>
              <w:pStyle w:val="Heading3"/>
              <w:numPr>
                <w:ilvl w:val="0"/>
                <w:numId w:val="0"/>
              </w:numPr>
              <w:spacing w:before="120" w:after="120"/>
            </w:pPr>
            <w:r>
              <w:rPr>
                <w:rFonts w:eastAsia="Arial"/>
              </w:rPr>
              <w:t>Tier 3</w:t>
            </w:r>
          </w:p>
        </w:tc>
      </w:tr>
    </w:tbl>
    <w:p w14:paraId="66D2253B" w14:textId="77777777" w:rsidR="00404C33" w:rsidRDefault="00404C33" w:rsidP="00404C33">
      <w:pPr>
        <w:pStyle w:val="Indent2"/>
        <w:rPr>
          <w:rFonts w:eastAsia="Cambria"/>
        </w:rPr>
      </w:pPr>
    </w:p>
    <w:p w14:paraId="26EB2665" w14:textId="77777777" w:rsidR="00404C33" w:rsidRDefault="00FC159E" w:rsidP="00404C33">
      <w:pPr>
        <w:pStyle w:val="Heading3"/>
      </w:pPr>
      <w:bookmarkStart w:id="9" w:name="_Ref201329968"/>
      <w:bookmarkStart w:id="10" w:name="_Ref201595774"/>
      <w:r>
        <w:t xml:space="preserve">If the sole or predominant purpose of </w:t>
      </w:r>
      <w:r w:rsidR="00E20540">
        <w:t>an AI companion chatbot feature</w:t>
      </w:r>
      <w:r>
        <w:t xml:space="preserve"> is to generate material in a particular </w:t>
      </w:r>
      <w:r w:rsidRPr="001D1F24">
        <w:t>generative AI restricted category</w:t>
      </w:r>
      <w:r>
        <w:t>, then:</w:t>
      </w:r>
      <w:bookmarkEnd w:id="9"/>
      <w:bookmarkEnd w:id="10"/>
    </w:p>
    <w:p w14:paraId="262CC1FE" w14:textId="77777777" w:rsidR="00404C33" w:rsidRDefault="00FC159E" w:rsidP="00404C33">
      <w:pPr>
        <w:pStyle w:val="Heading4"/>
      </w:pPr>
      <w:r>
        <w:t>the service provider is not required to undertake a risk assessment in relation to that category and will automatically have a Tier 1 risk profile in respect of that category; and</w:t>
      </w:r>
    </w:p>
    <w:p w14:paraId="1E1AE3D3" w14:textId="77777777" w:rsidR="00404C33" w:rsidRDefault="00FC159E" w:rsidP="00404C33">
      <w:pPr>
        <w:pStyle w:val="Heading4"/>
      </w:pPr>
      <w:r>
        <w:t>is still required to undertake a risk assessment in relation of other categories.</w:t>
      </w:r>
    </w:p>
    <w:p w14:paraId="08A2D220" w14:textId="77777777" w:rsidR="00404C33" w:rsidRPr="00B02F7F" w:rsidRDefault="00FC159E" w:rsidP="00404C33">
      <w:pPr>
        <w:pStyle w:val="Heading3"/>
        <w:numPr>
          <w:ilvl w:val="0"/>
          <w:numId w:val="0"/>
        </w:numPr>
        <w:ind w:left="1440"/>
        <w:rPr>
          <w:sz w:val="16"/>
          <w:szCs w:val="16"/>
        </w:rPr>
      </w:pPr>
      <w:r w:rsidRPr="00B02F7F">
        <w:rPr>
          <w:sz w:val="16"/>
          <w:szCs w:val="16"/>
          <w:u w:val="single"/>
        </w:rPr>
        <w:t>Note:</w:t>
      </w:r>
      <w:r w:rsidRPr="00B02F7F">
        <w:rPr>
          <w:sz w:val="16"/>
          <w:szCs w:val="16"/>
        </w:rPr>
        <w:t xml:space="preserve"> For example, if </w:t>
      </w:r>
      <w:r w:rsidR="00E20540" w:rsidRPr="00B02F7F">
        <w:rPr>
          <w:sz w:val="16"/>
          <w:szCs w:val="16"/>
        </w:rPr>
        <w:t>an AI companion chatbot feature</w:t>
      </w:r>
      <w:r w:rsidRPr="00B02F7F">
        <w:rPr>
          <w:sz w:val="16"/>
          <w:szCs w:val="16"/>
        </w:rPr>
        <w:t xml:space="preserve"> has the sole or predominant purpose of enabling end-users to generate high impact violence material, the service provider will not be required to undertake a risk assessment in respect of that material. That feature will be required to comply with the measures for features with a Tier 1 risk profile, but only in respect of high impact violence material and not the other categories of material it does not have the sole or predominant purpose in respect of. The</w:t>
      </w:r>
      <w:r w:rsidRPr="00B02F7F">
        <w:rPr>
          <w:sz w:val="16"/>
          <w:szCs w:val="16"/>
        </w:rPr>
        <w:t xml:space="preserve"> service provider will still need to conduct a risk assessment in respect of other relevant generative AI restricted categories of material to determine its risk profile in respect of those categories.</w:t>
      </w:r>
    </w:p>
    <w:p w14:paraId="6963B924" w14:textId="77777777" w:rsidR="005D2E14" w:rsidRPr="00DA193A" w:rsidRDefault="00FC159E">
      <w:pPr>
        <w:pStyle w:val="Heading2"/>
        <w:rPr>
          <w:rFonts w:eastAsia="Cambria"/>
        </w:rPr>
      </w:pPr>
      <w:bookmarkStart w:id="11" w:name="_Ref201330064"/>
      <w:r w:rsidRPr="00DA193A">
        <w:rPr>
          <w:rFonts w:eastAsia="Cambria"/>
        </w:rPr>
        <w:t xml:space="preserve">Risk </w:t>
      </w:r>
      <w:r w:rsidR="0008276D" w:rsidRPr="00DA193A">
        <w:rPr>
          <w:rFonts w:eastAsia="Cambria"/>
        </w:rPr>
        <w:t>assessment</w:t>
      </w:r>
      <w:bookmarkEnd w:id="8"/>
      <w:r>
        <w:rPr>
          <w:rFonts w:eastAsia="Cambria"/>
        </w:rPr>
        <w:t>: other features</w:t>
      </w:r>
      <w:bookmarkEnd w:id="11"/>
    </w:p>
    <w:p w14:paraId="31C277AA" w14:textId="77777777" w:rsidR="00CC565D" w:rsidRPr="00DA193A" w:rsidRDefault="00FC159E" w:rsidP="00F97AB0">
      <w:pPr>
        <w:pStyle w:val="Heading3"/>
        <w:keepNext/>
        <w:rPr>
          <w:lang w:val="en-GB"/>
        </w:rPr>
      </w:pPr>
      <w:bookmarkStart w:id="12" w:name="_Ref175225007"/>
      <w:r>
        <w:rPr>
          <w:lang w:val="en-GB"/>
        </w:rPr>
        <w:t>How</w:t>
      </w:r>
      <w:r w:rsidR="0008276D" w:rsidRPr="00DA193A">
        <w:rPr>
          <w:lang w:val="en-GB"/>
        </w:rPr>
        <w:t xml:space="preserve"> this Code applies to a social media service</w:t>
      </w:r>
      <w:r w:rsidR="00D1753C">
        <w:rPr>
          <w:lang w:val="en-GB"/>
        </w:rPr>
        <w:t xml:space="preserve">, other than in relation to any </w:t>
      </w:r>
      <w:r w:rsidR="00E20540">
        <w:rPr>
          <w:lang w:val="en-GB"/>
        </w:rPr>
        <w:t>AI companion chatbot feature</w:t>
      </w:r>
      <w:r w:rsidR="00D1753C">
        <w:rPr>
          <w:lang w:val="en-GB"/>
        </w:rPr>
        <w:t xml:space="preserve">, </w:t>
      </w:r>
      <w:r w:rsidR="0008276D" w:rsidRPr="00DA193A">
        <w:rPr>
          <w:lang w:val="en-GB"/>
        </w:rPr>
        <w:t xml:space="preserve">depends on </w:t>
      </w:r>
      <w:r w:rsidR="0064227C" w:rsidRPr="00DA193A">
        <w:rPr>
          <w:lang w:val="en-GB"/>
        </w:rPr>
        <w:t>the risk that Australian child</w:t>
      </w:r>
      <w:r w:rsidR="00313F09" w:rsidRPr="00DA193A">
        <w:rPr>
          <w:lang w:val="en-GB"/>
        </w:rPr>
        <w:t>ren</w:t>
      </w:r>
      <w:r w:rsidR="0064227C" w:rsidRPr="00DA193A">
        <w:rPr>
          <w:lang w:val="en-GB"/>
        </w:rPr>
        <w:t xml:space="preserve"> will access or be exposed to online pornography, self-harm material or high-impact violence material</w:t>
      </w:r>
      <w:r w:rsidR="001E5A72" w:rsidRPr="00DA193A">
        <w:rPr>
          <w:lang w:val="en-GB"/>
        </w:rPr>
        <w:t xml:space="preserve"> on the social media service</w:t>
      </w:r>
      <w:r w:rsidR="00404684" w:rsidRPr="00DA193A">
        <w:rPr>
          <w:lang w:val="en-GB"/>
        </w:rPr>
        <w:t xml:space="preserve"> as follows:</w:t>
      </w:r>
      <w:bookmarkEnd w:id="12"/>
    </w:p>
    <w:p w14:paraId="0C758995" w14:textId="77777777" w:rsidR="005D2E14" w:rsidRPr="00DA193A" w:rsidRDefault="00FC159E" w:rsidP="00404C33">
      <w:pPr>
        <w:pStyle w:val="Heading4"/>
        <w:rPr>
          <w:lang w:val="en-GB"/>
        </w:rPr>
      </w:pPr>
      <w:r w:rsidRPr="00DA193A">
        <w:rPr>
          <w:lang w:val="en-GB"/>
        </w:rPr>
        <w:t xml:space="preserve">if </w:t>
      </w:r>
      <w:r w:rsidR="007976BC" w:rsidRPr="00DA193A">
        <w:rPr>
          <w:lang w:val="en-GB"/>
        </w:rPr>
        <w:t xml:space="preserve">the </w:t>
      </w:r>
      <w:r w:rsidR="0008276D" w:rsidRPr="00DA193A">
        <w:rPr>
          <w:lang w:val="en-GB"/>
        </w:rPr>
        <w:t xml:space="preserve">posting of </w:t>
      </w:r>
      <w:r w:rsidR="00DD321B" w:rsidRPr="00DA193A">
        <w:rPr>
          <w:lang w:val="en-GB"/>
        </w:rPr>
        <w:t>online pornography, self-harm material or high-impact violence material</w:t>
      </w:r>
      <w:r w:rsidR="00CE2DDA" w:rsidRPr="00DA193A">
        <w:rPr>
          <w:lang w:val="en-GB"/>
        </w:rPr>
        <w:t xml:space="preserve"> </w:t>
      </w:r>
      <w:r w:rsidR="0008276D" w:rsidRPr="00DA193A">
        <w:rPr>
          <w:lang w:val="en-GB"/>
        </w:rPr>
        <w:t>is allowed</w:t>
      </w:r>
      <w:r w:rsidR="00A952B3" w:rsidRPr="00DA193A">
        <w:rPr>
          <w:lang w:val="en-GB"/>
        </w:rPr>
        <w:t xml:space="preserve"> under the applicable terms of use for </w:t>
      </w:r>
      <w:r w:rsidR="00505B06" w:rsidRPr="00DA193A">
        <w:rPr>
          <w:lang w:val="en-GB"/>
        </w:rPr>
        <w:t xml:space="preserve">the </w:t>
      </w:r>
      <w:r w:rsidR="00A952B3" w:rsidRPr="00DA193A">
        <w:rPr>
          <w:lang w:val="en-GB"/>
        </w:rPr>
        <w:t>social media service</w:t>
      </w:r>
      <w:r w:rsidR="0008276D" w:rsidRPr="00DA193A">
        <w:rPr>
          <w:lang w:val="en-GB"/>
        </w:rPr>
        <w:t xml:space="preserve">, then </w:t>
      </w:r>
      <w:r w:rsidR="008358CB" w:rsidRPr="00DA193A">
        <w:rPr>
          <w:lang w:val="en-GB"/>
        </w:rPr>
        <w:t xml:space="preserve">the </w:t>
      </w:r>
      <w:r w:rsidR="00FF0DDD" w:rsidRPr="00DA193A">
        <w:rPr>
          <w:lang w:val="en-GB"/>
        </w:rPr>
        <w:t xml:space="preserve">service provider will need to comply with compliance measures for that material as set out in clause </w:t>
      </w:r>
      <w:r w:rsidR="00FF0DDD" w:rsidRPr="00DA193A">
        <w:rPr>
          <w:lang w:val="en-GB"/>
        </w:rPr>
        <w:fldChar w:fldCharType="begin"/>
      </w:r>
      <w:r w:rsidR="00FF0DDD" w:rsidRPr="00DA193A">
        <w:rPr>
          <w:lang w:val="en-GB"/>
        </w:rPr>
        <w:instrText xml:space="preserve"> REF _Ref174377378 \r \h </w:instrText>
      </w:r>
      <w:r w:rsidR="00A304F2" w:rsidRPr="00DA193A">
        <w:rPr>
          <w:lang w:val="en-GB"/>
        </w:rPr>
        <w:instrText xml:space="preserve"> \* MERGEFORMAT </w:instrText>
      </w:r>
      <w:r w:rsidR="00FF0DDD" w:rsidRPr="00DA193A">
        <w:rPr>
          <w:lang w:val="en-GB"/>
        </w:rPr>
      </w:r>
      <w:r w:rsidR="00FF0DDD" w:rsidRPr="00DA193A">
        <w:rPr>
          <w:lang w:val="en-GB"/>
        </w:rPr>
        <w:fldChar w:fldCharType="separate"/>
      </w:r>
      <w:r w:rsidR="006E374E">
        <w:rPr>
          <w:lang w:val="en-GB"/>
        </w:rPr>
        <w:t>6</w:t>
      </w:r>
      <w:r w:rsidR="00FF0DDD" w:rsidRPr="00DA193A">
        <w:rPr>
          <w:lang w:val="en-GB"/>
        </w:rPr>
        <w:fldChar w:fldCharType="end"/>
      </w:r>
      <w:r w:rsidR="00FF0DDD" w:rsidRPr="00DA193A">
        <w:rPr>
          <w:lang w:val="en-GB"/>
        </w:rPr>
        <w:t xml:space="preserve"> and the table in clause </w:t>
      </w:r>
      <w:r w:rsidR="00FF0DDD" w:rsidRPr="00DA193A">
        <w:rPr>
          <w:lang w:val="en-GB"/>
        </w:rPr>
        <w:fldChar w:fldCharType="begin"/>
      </w:r>
      <w:r w:rsidR="00FF0DDD" w:rsidRPr="00DA193A">
        <w:rPr>
          <w:lang w:val="en-GB"/>
        </w:rPr>
        <w:instrText xml:space="preserve"> REF _Ref173404098 \r \h </w:instrText>
      </w:r>
      <w:r w:rsidR="00A304F2" w:rsidRPr="00DA193A">
        <w:rPr>
          <w:lang w:val="en-GB"/>
        </w:rPr>
        <w:instrText xml:space="preserve"> \* MERGEFORMAT </w:instrText>
      </w:r>
      <w:r w:rsidR="00FF0DDD" w:rsidRPr="00DA193A">
        <w:rPr>
          <w:lang w:val="en-GB"/>
        </w:rPr>
      </w:r>
      <w:r w:rsidR="00FF0DDD" w:rsidRPr="00DA193A">
        <w:rPr>
          <w:lang w:val="en-GB"/>
        </w:rPr>
        <w:fldChar w:fldCharType="separate"/>
      </w:r>
      <w:r w:rsidR="006E374E">
        <w:rPr>
          <w:lang w:val="en-GB"/>
        </w:rPr>
        <w:t>7</w:t>
      </w:r>
      <w:r w:rsidR="00FF0DDD" w:rsidRPr="00DA193A">
        <w:rPr>
          <w:lang w:val="en-GB"/>
        </w:rPr>
        <w:fldChar w:fldCharType="end"/>
      </w:r>
      <w:r w:rsidRPr="00DA193A">
        <w:rPr>
          <w:lang w:val="en-GB"/>
        </w:rPr>
        <w:t>; and</w:t>
      </w:r>
    </w:p>
    <w:p w14:paraId="142BBDEC" w14:textId="77777777" w:rsidR="00E67F0C" w:rsidRPr="00DA193A" w:rsidRDefault="00FC159E" w:rsidP="00404C33">
      <w:pPr>
        <w:pStyle w:val="Heading4"/>
        <w:rPr>
          <w:lang w:val="en-GB"/>
        </w:rPr>
      </w:pPr>
      <w:r w:rsidRPr="00DA193A">
        <w:rPr>
          <w:lang w:val="en-GB"/>
        </w:rPr>
        <w:t xml:space="preserve">if </w:t>
      </w:r>
      <w:r w:rsidR="007976BC" w:rsidRPr="00DA193A">
        <w:rPr>
          <w:lang w:val="en-GB"/>
        </w:rPr>
        <w:t xml:space="preserve">the </w:t>
      </w:r>
      <w:r w:rsidR="0008276D" w:rsidRPr="00DA193A">
        <w:rPr>
          <w:lang w:val="en-GB"/>
        </w:rPr>
        <w:t xml:space="preserve">posting of </w:t>
      </w:r>
      <w:r w:rsidR="00DD321B" w:rsidRPr="00DA193A">
        <w:rPr>
          <w:lang w:val="en-GB"/>
        </w:rPr>
        <w:t>online pornography, self-harm material or high-impact violence material</w:t>
      </w:r>
      <w:r w:rsidR="00532558" w:rsidRPr="00DA193A">
        <w:rPr>
          <w:lang w:val="en-GB"/>
        </w:rPr>
        <w:t xml:space="preserve"> </w:t>
      </w:r>
      <w:r w:rsidR="0008276D" w:rsidRPr="00DA193A">
        <w:rPr>
          <w:lang w:val="en-GB"/>
        </w:rPr>
        <w:t xml:space="preserve">is </w:t>
      </w:r>
      <w:r w:rsidR="000F2DD2" w:rsidRPr="00DA193A">
        <w:rPr>
          <w:lang w:val="en-GB"/>
        </w:rPr>
        <w:t>not allowed</w:t>
      </w:r>
      <w:r w:rsidR="00A952B3" w:rsidRPr="00DA193A">
        <w:rPr>
          <w:lang w:val="en-GB"/>
        </w:rPr>
        <w:t xml:space="preserve"> under the applicable terms of use for </w:t>
      </w:r>
      <w:r w:rsidR="00505B06" w:rsidRPr="00DA193A">
        <w:rPr>
          <w:lang w:val="en-GB"/>
        </w:rPr>
        <w:t xml:space="preserve">the </w:t>
      </w:r>
      <w:r w:rsidR="00A952B3" w:rsidRPr="00DA193A">
        <w:rPr>
          <w:lang w:val="en-GB"/>
        </w:rPr>
        <w:t>social media service</w:t>
      </w:r>
      <w:r w:rsidR="0008276D" w:rsidRPr="00DA193A">
        <w:rPr>
          <w:lang w:val="en-GB"/>
        </w:rPr>
        <w:t xml:space="preserve">, then the service provider must assess the risk that </w:t>
      </w:r>
      <w:r w:rsidR="001B5030" w:rsidRPr="00DA193A">
        <w:rPr>
          <w:lang w:val="en-GB"/>
        </w:rPr>
        <w:t>material</w:t>
      </w:r>
      <w:r w:rsidR="000F68B2" w:rsidRPr="00DA193A">
        <w:rPr>
          <w:lang w:val="en-GB"/>
        </w:rPr>
        <w:t xml:space="preserve"> in those categories</w:t>
      </w:r>
      <w:r w:rsidR="0008276D" w:rsidRPr="00DA193A">
        <w:rPr>
          <w:lang w:val="en-GB"/>
        </w:rPr>
        <w:t xml:space="preserve"> will be accessed, distributed or stored </w:t>
      </w:r>
      <w:r w:rsidR="0086068D" w:rsidRPr="00DA193A">
        <w:rPr>
          <w:lang w:val="en-GB"/>
        </w:rPr>
        <w:t xml:space="preserve">by an Australian child </w:t>
      </w:r>
      <w:r w:rsidR="0008276D" w:rsidRPr="00DA193A">
        <w:rPr>
          <w:lang w:val="en-GB"/>
        </w:rPr>
        <w:t xml:space="preserve">on </w:t>
      </w:r>
      <w:r w:rsidR="00FF0DDD" w:rsidRPr="00DA193A">
        <w:rPr>
          <w:lang w:val="en-GB"/>
        </w:rPr>
        <w:t xml:space="preserve">that </w:t>
      </w:r>
      <w:r w:rsidR="0008276D" w:rsidRPr="00DA193A">
        <w:rPr>
          <w:lang w:val="en-GB"/>
        </w:rPr>
        <w:t>service.</w:t>
      </w:r>
      <w:r w:rsidR="00FF0DDD" w:rsidRPr="00DA193A">
        <w:rPr>
          <w:lang w:val="en-GB"/>
        </w:rPr>
        <w:t xml:space="preserve"> </w:t>
      </w:r>
      <w:r w:rsidR="00E1104E" w:rsidRPr="00DA193A">
        <w:rPr>
          <w:lang w:val="en-GB"/>
        </w:rPr>
        <w:t>Taking into account the outcome of the risk assessment, t</w:t>
      </w:r>
      <w:r w:rsidR="00FF0DDD" w:rsidRPr="00DA193A">
        <w:rPr>
          <w:lang w:val="en-GB"/>
        </w:rPr>
        <w:t>he service provider will need to comply with compliance measures for that material as set out in clause</w:t>
      </w:r>
      <w:r w:rsidR="00E1104E" w:rsidRPr="00DA193A">
        <w:rPr>
          <w:lang w:val="en-GB"/>
        </w:rPr>
        <w:t> </w:t>
      </w:r>
      <w:r w:rsidR="00FF0DDD" w:rsidRPr="00DA193A">
        <w:rPr>
          <w:lang w:val="en-GB"/>
        </w:rPr>
        <w:fldChar w:fldCharType="begin"/>
      </w:r>
      <w:r w:rsidR="00FF0DDD" w:rsidRPr="00DA193A">
        <w:rPr>
          <w:lang w:val="en-GB"/>
        </w:rPr>
        <w:instrText xml:space="preserve"> REF _Ref174377378 \r \h </w:instrText>
      </w:r>
      <w:r w:rsidR="00A304F2" w:rsidRPr="00DA193A">
        <w:rPr>
          <w:lang w:val="en-GB"/>
        </w:rPr>
        <w:instrText xml:space="preserve"> \* MERGEFORMAT </w:instrText>
      </w:r>
      <w:r w:rsidR="00FF0DDD" w:rsidRPr="00DA193A">
        <w:rPr>
          <w:lang w:val="en-GB"/>
        </w:rPr>
      </w:r>
      <w:r w:rsidR="00FF0DDD" w:rsidRPr="00DA193A">
        <w:rPr>
          <w:lang w:val="en-GB"/>
        </w:rPr>
        <w:fldChar w:fldCharType="separate"/>
      </w:r>
      <w:r w:rsidR="006E374E">
        <w:rPr>
          <w:lang w:val="en-GB"/>
        </w:rPr>
        <w:t>6</w:t>
      </w:r>
      <w:r w:rsidR="00FF0DDD" w:rsidRPr="00DA193A">
        <w:rPr>
          <w:lang w:val="en-GB"/>
        </w:rPr>
        <w:fldChar w:fldCharType="end"/>
      </w:r>
      <w:r w:rsidR="00FF0DDD" w:rsidRPr="00DA193A">
        <w:rPr>
          <w:lang w:val="en-GB"/>
        </w:rPr>
        <w:t xml:space="preserve"> and the table in clause </w:t>
      </w:r>
      <w:r w:rsidR="00FF0DDD" w:rsidRPr="00DA193A">
        <w:rPr>
          <w:lang w:val="en-GB"/>
        </w:rPr>
        <w:fldChar w:fldCharType="begin"/>
      </w:r>
      <w:r w:rsidR="00FF0DDD" w:rsidRPr="00DA193A">
        <w:rPr>
          <w:lang w:val="en-GB"/>
        </w:rPr>
        <w:instrText xml:space="preserve"> REF _Ref173404090 \r \h </w:instrText>
      </w:r>
      <w:r w:rsidR="00A304F2" w:rsidRPr="00DA193A">
        <w:rPr>
          <w:lang w:val="en-GB"/>
        </w:rPr>
        <w:instrText xml:space="preserve"> \* MERGEFORMAT </w:instrText>
      </w:r>
      <w:r w:rsidR="00FF0DDD" w:rsidRPr="00DA193A">
        <w:rPr>
          <w:lang w:val="en-GB"/>
        </w:rPr>
      </w:r>
      <w:r w:rsidR="00FF0DDD" w:rsidRPr="00DA193A">
        <w:rPr>
          <w:lang w:val="en-GB"/>
        </w:rPr>
        <w:fldChar w:fldCharType="separate"/>
      </w:r>
      <w:r w:rsidR="006E374E">
        <w:rPr>
          <w:lang w:val="en-GB"/>
        </w:rPr>
        <w:t>8</w:t>
      </w:r>
      <w:r w:rsidR="00FF0DDD" w:rsidRPr="00DA193A">
        <w:rPr>
          <w:lang w:val="en-GB"/>
        </w:rPr>
        <w:fldChar w:fldCharType="end"/>
      </w:r>
      <w:r w:rsidR="00FF0DDD" w:rsidRPr="00DA193A">
        <w:rPr>
          <w:lang w:val="en-GB"/>
        </w:rPr>
        <w:t>.</w:t>
      </w:r>
    </w:p>
    <w:p w14:paraId="6D21C153" w14:textId="77777777" w:rsidR="00E90C11" w:rsidRPr="00DA193A" w:rsidRDefault="00FC159E" w:rsidP="00404C33">
      <w:pPr>
        <w:pStyle w:val="Heading3"/>
        <w:numPr>
          <w:ilvl w:val="0"/>
          <w:numId w:val="0"/>
        </w:numPr>
        <w:ind w:left="1440"/>
        <w:rPr>
          <w:sz w:val="16"/>
          <w:szCs w:val="16"/>
          <w:lang w:val="en-GB"/>
        </w:rPr>
      </w:pPr>
      <w:r w:rsidRPr="00DA193A">
        <w:rPr>
          <w:sz w:val="16"/>
          <w:szCs w:val="16"/>
          <w:u w:val="single"/>
          <w:lang w:val="en-GB"/>
        </w:rPr>
        <w:t>Note:</w:t>
      </w:r>
      <w:r w:rsidRPr="00DA193A">
        <w:rPr>
          <w:sz w:val="16"/>
          <w:szCs w:val="16"/>
          <w:lang w:val="en-GB"/>
        </w:rPr>
        <w:t xml:space="preserve"> The scope of any risk assessment that is required may vary depending on the treatment of </w:t>
      </w:r>
      <w:r w:rsidR="00DD321B" w:rsidRPr="00DA193A">
        <w:rPr>
          <w:sz w:val="16"/>
          <w:szCs w:val="16"/>
          <w:lang w:val="en-GB"/>
        </w:rPr>
        <w:t>online pornography, self-harm material or high-impact violence material</w:t>
      </w:r>
      <w:r w:rsidRPr="00DA193A">
        <w:rPr>
          <w:sz w:val="16"/>
          <w:szCs w:val="16"/>
          <w:lang w:val="en-GB"/>
        </w:rPr>
        <w:t xml:space="preserve">. For example, if the terms of use for a social media service </w:t>
      </w:r>
      <w:r w:rsidR="0081706E" w:rsidRPr="00DA193A">
        <w:rPr>
          <w:sz w:val="16"/>
          <w:szCs w:val="16"/>
          <w:lang w:val="en-GB"/>
        </w:rPr>
        <w:t xml:space="preserve">permit the posting of online pornography but do </w:t>
      </w:r>
      <w:r w:rsidRPr="00DA193A">
        <w:rPr>
          <w:sz w:val="16"/>
          <w:szCs w:val="16"/>
          <w:lang w:val="en-GB"/>
        </w:rPr>
        <w:t xml:space="preserve">not permit the posting of </w:t>
      </w:r>
      <w:r w:rsidR="005658D2" w:rsidRPr="00DA193A">
        <w:rPr>
          <w:sz w:val="16"/>
          <w:szCs w:val="16"/>
          <w:lang w:val="en-GB"/>
        </w:rPr>
        <w:t>self-harm material</w:t>
      </w:r>
      <w:r w:rsidRPr="00DA193A">
        <w:rPr>
          <w:sz w:val="16"/>
          <w:szCs w:val="16"/>
          <w:lang w:val="en-GB"/>
        </w:rPr>
        <w:t xml:space="preserve">, then the service provider </w:t>
      </w:r>
      <w:r w:rsidR="0081706E" w:rsidRPr="00DA193A">
        <w:rPr>
          <w:sz w:val="16"/>
          <w:szCs w:val="16"/>
          <w:lang w:val="en-GB"/>
        </w:rPr>
        <w:t xml:space="preserve">would not need to carry out a risk assessment for online pornography but would need to carry out a risk assessment for </w:t>
      </w:r>
      <w:r w:rsidR="005658D2" w:rsidRPr="00DA193A">
        <w:rPr>
          <w:sz w:val="16"/>
          <w:szCs w:val="16"/>
          <w:lang w:val="en-GB"/>
        </w:rPr>
        <w:t>self-harm material</w:t>
      </w:r>
      <w:r w:rsidR="0081706E" w:rsidRPr="00DA193A">
        <w:rPr>
          <w:sz w:val="16"/>
          <w:szCs w:val="16"/>
          <w:lang w:val="en-GB"/>
        </w:rPr>
        <w:t>.</w:t>
      </w:r>
    </w:p>
    <w:p w14:paraId="43028F01" w14:textId="77777777" w:rsidR="003C3B0A" w:rsidRPr="00DA193A" w:rsidRDefault="00FC159E" w:rsidP="00404C33">
      <w:pPr>
        <w:pStyle w:val="Heading3"/>
        <w:rPr>
          <w:lang w:val="en-GB"/>
        </w:rPr>
      </w:pPr>
      <w:bookmarkStart w:id="13" w:name="_Ref108517246"/>
      <w:bookmarkStart w:id="14" w:name="_Ref119595490"/>
      <w:bookmarkEnd w:id="13"/>
      <w:bookmarkEnd w:id="14"/>
      <w:r w:rsidRPr="00DA193A">
        <w:rPr>
          <w:rFonts w:eastAsia="Cambria"/>
        </w:rPr>
        <w:t>Subject</w:t>
      </w:r>
      <w:r w:rsidRPr="00DA193A">
        <w:rPr>
          <w:lang w:val="en-GB"/>
        </w:rPr>
        <w:t xml:space="preserve"> to clause </w:t>
      </w:r>
      <w:r w:rsidRPr="00DA193A">
        <w:rPr>
          <w:lang w:val="en-GB"/>
        </w:rPr>
        <w:fldChar w:fldCharType="begin"/>
      </w:r>
      <w:r w:rsidRPr="00DA193A">
        <w:rPr>
          <w:lang w:val="en-GB"/>
        </w:rPr>
        <w:instrText xml:space="preserve"> REF _Ref119595451 \r \h  \* MERGEFORMAT </w:instrText>
      </w:r>
      <w:r w:rsidRPr="00DA193A">
        <w:rPr>
          <w:lang w:val="en-GB"/>
        </w:rPr>
      </w:r>
      <w:r w:rsidRPr="00DA193A">
        <w:rPr>
          <w:lang w:val="en-GB"/>
        </w:rPr>
        <w:fldChar w:fldCharType="separate"/>
      </w:r>
      <w:r w:rsidR="006E374E">
        <w:rPr>
          <w:lang w:val="en-GB"/>
        </w:rPr>
        <w:t>4.4</w:t>
      </w:r>
      <w:r w:rsidRPr="00DA193A">
        <w:rPr>
          <w:lang w:val="en-GB"/>
        </w:rPr>
        <w:fldChar w:fldCharType="end"/>
      </w:r>
      <w:bookmarkStart w:id="15" w:name="_Hlk118318225"/>
      <w:r w:rsidRPr="00DA193A">
        <w:rPr>
          <w:lang w:val="en-GB"/>
        </w:rPr>
        <w:t xml:space="preserve"> </w:t>
      </w:r>
      <w:bookmarkStart w:id="16" w:name="_Hlk118471461"/>
      <w:r w:rsidRPr="00DA193A">
        <w:rPr>
          <w:lang w:val="en-GB"/>
        </w:rPr>
        <w:t xml:space="preserve">and except where the </w:t>
      </w:r>
      <w:r w:rsidR="004A4DFD" w:rsidRPr="00DA193A">
        <w:rPr>
          <w:lang w:val="en-GB"/>
        </w:rPr>
        <w:t xml:space="preserve">service </w:t>
      </w:r>
      <w:r w:rsidRPr="00DA193A">
        <w:rPr>
          <w:lang w:val="en-GB"/>
        </w:rPr>
        <w:t xml:space="preserve">provider chooses to automatically </w:t>
      </w:r>
      <w:r w:rsidR="004A4DFD" w:rsidRPr="00DA193A">
        <w:rPr>
          <w:lang w:val="en-GB"/>
        </w:rPr>
        <w:t>apply</w:t>
      </w:r>
      <w:r w:rsidRPr="00DA193A">
        <w:rPr>
          <w:lang w:val="en-GB"/>
        </w:rPr>
        <w:t xml:space="preserve"> a Tier 1 risk profile in accordance with </w:t>
      </w:r>
      <w:r w:rsidRPr="00DA193A">
        <w:rPr>
          <w:noProof/>
        </w:rPr>
        <w:t>with section 5.2(a)(ii) of the Head Terms</w:t>
      </w:r>
      <w:bookmarkEnd w:id="15"/>
      <w:bookmarkEnd w:id="16"/>
      <w:r w:rsidRPr="00DA193A">
        <w:rPr>
          <w:lang w:val="en-GB"/>
        </w:rPr>
        <w:t xml:space="preserve">, </w:t>
      </w:r>
      <w:r w:rsidR="00E53DCF" w:rsidRPr="00DA193A">
        <w:rPr>
          <w:lang w:val="en-GB"/>
        </w:rPr>
        <w:t xml:space="preserve">if </w:t>
      </w:r>
      <w:r w:rsidR="004A4DFD" w:rsidRPr="00DA193A">
        <w:rPr>
          <w:lang w:val="en-GB"/>
        </w:rPr>
        <w:t>the</w:t>
      </w:r>
      <w:r w:rsidRPr="00DA193A">
        <w:rPr>
          <w:lang w:val="en-GB"/>
        </w:rPr>
        <w:t xml:space="preserve"> provider of a </w:t>
      </w:r>
      <w:r w:rsidR="007976BC" w:rsidRPr="00DA193A">
        <w:rPr>
          <w:lang w:val="en-GB"/>
        </w:rPr>
        <w:t xml:space="preserve">social media service </w:t>
      </w:r>
      <w:r w:rsidR="00E53DCF" w:rsidRPr="00DA193A">
        <w:rPr>
          <w:lang w:val="en-GB"/>
        </w:rPr>
        <w:t xml:space="preserve">is obliged under clause </w:t>
      </w:r>
      <w:r w:rsidR="00E53DCF" w:rsidRPr="00DA193A">
        <w:rPr>
          <w:lang w:val="en-GB"/>
        </w:rPr>
        <w:fldChar w:fldCharType="begin"/>
      </w:r>
      <w:r w:rsidR="00E53DCF" w:rsidRPr="00DA193A">
        <w:rPr>
          <w:lang w:val="en-GB"/>
        </w:rPr>
        <w:instrText xml:space="preserve"> REF _Ref174373363 \r \h </w:instrText>
      </w:r>
      <w:r w:rsidR="00A304F2" w:rsidRPr="00DA193A">
        <w:rPr>
          <w:lang w:val="en-GB"/>
        </w:rPr>
        <w:instrText xml:space="preserve"> \* MERGEFORMAT </w:instrText>
      </w:r>
      <w:r w:rsidR="00E53DCF" w:rsidRPr="00DA193A">
        <w:rPr>
          <w:lang w:val="en-GB"/>
        </w:rPr>
      </w:r>
      <w:r w:rsidR="00E53DCF" w:rsidRPr="00DA193A">
        <w:rPr>
          <w:lang w:val="en-GB"/>
        </w:rPr>
        <w:fldChar w:fldCharType="separate"/>
      </w:r>
      <w:r w:rsidR="006E374E">
        <w:rPr>
          <w:lang w:val="en-GB"/>
        </w:rPr>
        <w:t>4.1</w:t>
      </w:r>
      <w:r w:rsidR="00E53DCF" w:rsidRPr="00DA193A">
        <w:rPr>
          <w:lang w:val="en-GB"/>
        </w:rPr>
        <w:fldChar w:fldCharType="end"/>
      </w:r>
      <w:r w:rsidR="00E53DCF" w:rsidRPr="00DA193A">
        <w:rPr>
          <w:lang w:val="en-GB"/>
        </w:rPr>
        <w:t xml:space="preserve"> to carry out a risk assessment in relation to </w:t>
      </w:r>
      <w:r w:rsidR="00DD321B" w:rsidRPr="00DA193A">
        <w:rPr>
          <w:lang w:val="en-GB"/>
        </w:rPr>
        <w:t>online pornography, self-harm material or high-impact violence material</w:t>
      </w:r>
      <w:r w:rsidR="00E53DCF" w:rsidRPr="00DA193A">
        <w:rPr>
          <w:lang w:val="en-GB"/>
        </w:rPr>
        <w:t xml:space="preserve">, the service provider will determine a risk profile for the service </w:t>
      </w:r>
      <w:r w:rsidRPr="00DA193A">
        <w:rPr>
          <w:rFonts w:eastAsia="Cambria"/>
        </w:rPr>
        <w:t>in accordance with the following table</w:t>
      </w:r>
      <w:r w:rsidR="00FC3898" w:rsidRPr="00DA193A">
        <w:rPr>
          <w:rFonts w:eastAsia="Cambria"/>
        </w:rPr>
        <w:t>s</w:t>
      </w:r>
      <w:r w:rsidR="003C735E" w:rsidRPr="00DA193A">
        <w:rPr>
          <w:rFonts w:eastAsia="Cambria"/>
        </w:rPr>
        <w:t xml:space="preserve"> (as applicable)</w:t>
      </w:r>
      <w:r w:rsidRPr="00DA193A">
        <w:rPr>
          <w:rFonts w:eastAsia="Cambria"/>
        </w:rPr>
        <w:t>:</w:t>
      </w:r>
    </w:p>
    <w:tbl>
      <w:tblPr>
        <w:tblStyle w:val="TableGrid"/>
        <w:tblW w:w="4636"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2"/>
        <w:gridCol w:w="3714"/>
      </w:tblGrid>
      <w:tr w:rsidR="00367724" w14:paraId="207F64BB" w14:textId="77777777" w:rsidTr="00163B6F">
        <w:tc>
          <w:tcPr>
            <w:tcW w:w="2945" w:type="pct"/>
            <w:tcBorders>
              <w:top w:val="single" w:sz="12" w:space="0" w:color="auto"/>
              <w:bottom w:val="single" w:sz="12" w:space="0" w:color="auto"/>
            </w:tcBorders>
          </w:tcPr>
          <w:p w14:paraId="5434EAF6" w14:textId="77777777" w:rsidR="003C3B0A" w:rsidRPr="00DA193A" w:rsidRDefault="00FC159E" w:rsidP="00163B6F">
            <w:pPr>
              <w:pStyle w:val="Heading3"/>
              <w:numPr>
                <w:ilvl w:val="0"/>
                <w:numId w:val="0"/>
              </w:numPr>
              <w:spacing w:before="120" w:after="120"/>
              <w:rPr>
                <w:rFonts w:ascii="Arial" w:hAnsi="Arial" w:cs="Arial"/>
                <w:b/>
                <w:bCs/>
                <w:lang w:val="en-GB"/>
              </w:rPr>
            </w:pPr>
            <w:r w:rsidRPr="00DA193A">
              <w:rPr>
                <w:rFonts w:ascii="Arial" w:hAnsi="Arial" w:cs="Arial"/>
                <w:b/>
                <w:bCs/>
                <w:lang w:val="en-GB"/>
              </w:rPr>
              <w:t xml:space="preserve">If the risk that </w:t>
            </w:r>
            <w:r w:rsidR="0059717E" w:rsidRPr="00DA193A">
              <w:rPr>
                <w:rFonts w:ascii="Arial" w:hAnsi="Arial" w:cs="Arial"/>
                <w:b/>
                <w:bCs/>
                <w:lang w:val="en-GB"/>
              </w:rPr>
              <w:t>Australian child</w:t>
            </w:r>
            <w:r w:rsidR="00313F09" w:rsidRPr="00DA193A">
              <w:rPr>
                <w:rFonts w:ascii="Arial" w:hAnsi="Arial" w:cs="Arial"/>
                <w:b/>
                <w:bCs/>
                <w:lang w:val="en-GB"/>
              </w:rPr>
              <w:t>ren</w:t>
            </w:r>
            <w:r w:rsidR="0059717E" w:rsidRPr="00DA193A">
              <w:rPr>
                <w:rFonts w:ascii="Arial" w:hAnsi="Arial" w:cs="Arial"/>
                <w:b/>
                <w:bCs/>
                <w:lang w:val="en-GB"/>
              </w:rPr>
              <w:t xml:space="preserve"> will access or be exposed to </w:t>
            </w:r>
            <w:r w:rsidRPr="00DA193A">
              <w:rPr>
                <w:rFonts w:ascii="Arial" w:hAnsi="Arial" w:cs="Arial"/>
                <w:b/>
                <w:bCs/>
                <w:lang w:val="en-GB"/>
              </w:rPr>
              <w:t>online pornography material on a service is …</w:t>
            </w:r>
          </w:p>
        </w:tc>
        <w:tc>
          <w:tcPr>
            <w:tcW w:w="2055" w:type="pct"/>
            <w:tcBorders>
              <w:top w:val="single" w:sz="12" w:space="0" w:color="auto"/>
              <w:bottom w:val="single" w:sz="12" w:space="0" w:color="auto"/>
            </w:tcBorders>
          </w:tcPr>
          <w:p w14:paraId="0D26B1CB" w14:textId="77777777" w:rsidR="003C3B0A" w:rsidRPr="00DA193A" w:rsidRDefault="00FC159E" w:rsidP="00163B6F">
            <w:pPr>
              <w:pStyle w:val="Heading3"/>
              <w:numPr>
                <w:ilvl w:val="0"/>
                <w:numId w:val="0"/>
              </w:numPr>
              <w:spacing w:before="120" w:after="120"/>
              <w:rPr>
                <w:rFonts w:ascii="Arial" w:hAnsi="Arial" w:cs="Arial"/>
                <w:b/>
                <w:bCs/>
                <w:lang w:val="en-GB"/>
              </w:rPr>
            </w:pPr>
            <w:r w:rsidRPr="00DA193A">
              <w:rPr>
                <w:rFonts w:ascii="Arial" w:hAnsi="Arial" w:cs="Arial"/>
                <w:b/>
                <w:bCs/>
                <w:lang w:val="en-GB"/>
              </w:rPr>
              <w:t>the risk profile of the service in relation to online pornography is …</w:t>
            </w:r>
          </w:p>
        </w:tc>
      </w:tr>
      <w:tr w:rsidR="00367724" w14:paraId="1A628C70" w14:textId="77777777" w:rsidTr="00163B6F">
        <w:tc>
          <w:tcPr>
            <w:tcW w:w="2945" w:type="pct"/>
            <w:tcBorders>
              <w:top w:val="single" w:sz="12" w:space="0" w:color="auto"/>
              <w:bottom w:val="single" w:sz="4" w:space="0" w:color="auto"/>
            </w:tcBorders>
          </w:tcPr>
          <w:p w14:paraId="52482550" w14:textId="77777777" w:rsidR="003C3B0A" w:rsidRPr="00DA193A" w:rsidRDefault="00FC159E" w:rsidP="00163B6F">
            <w:pPr>
              <w:pStyle w:val="Heading3"/>
              <w:numPr>
                <w:ilvl w:val="0"/>
                <w:numId w:val="0"/>
              </w:numPr>
              <w:spacing w:before="120" w:after="120"/>
              <w:rPr>
                <w:rFonts w:ascii="Arial" w:hAnsi="Arial" w:cs="Arial"/>
                <w:lang w:val="en-GB"/>
              </w:rPr>
            </w:pPr>
            <w:r w:rsidRPr="00DA193A">
              <w:rPr>
                <w:rFonts w:ascii="Arial" w:hAnsi="Arial" w:cs="Arial"/>
                <w:lang w:val="en-GB"/>
              </w:rPr>
              <w:t xml:space="preserve">High </w:t>
            </w:r>
          </w:p>
        </w:tc>
        <w:tc>
          <w:tcPr>
            <w:tcW w:w="2055" w:type="pct"/>
            <w:tcBorders>
              <w:top w:val="single" w:sz="12" w:space="0" w:color="auto"/>
              <w:bottom w:val="single" w:sz="4" w:space="0" w:color="auto"/>
            </w:tcBorders>
          </w:tcPr>
          <w:p w14:paraId="34CC3D90" w14:textId="77777777" w:rsidR="003C3B0A" w:rsidRPr="00DA193A" w:rsidRDefault="00FC159E" w:rsidP="00163B6F">
            <w:pPr>
              <w:pStyle w:val="Heading3"/>
              <w:numPr>
                <w:ilvl w:val="0"/>
                <w:numId w:val="0"/>
              </w:numPr>
              <w:spacing w:before="120" w:after="120"/>
              <w:rPr>
                <w:rFonts w:ascii="Arial" w:hAnsi="Arial" w:cs="Arial"/>
                <w:lang w:val="en-GB"/>
              </w:rPr>
            </w:pPr>
            <w:r w:rsidRPr="00DA193A">
              <w:rPr>
                <w:rFonts w:ascii="Arial" w:hAnsi="Arial" w:cs="Arial"/>
                <w:lang w:val="en-GB"/>
              </w:rPr>
              <w:t>Tier 1</w:t>
            </w:r>
          </w:p>
        </w:tc>
      </w:tr>
      <w:tr w:rsidR="00367724" w14:paraId="71B4DA5D" w14:textId="77777777" w:rsidTr="00163B6F">
        <w:tc>
          <w:tcPr>
            <w:tcW w:w="2945" w:type="pct"/>
            <w:tcBorders>
              <w:top w:val="single" w:sz="4" w:space="0" w:color="auto"/>
              <w:bottom w:val="single" w:sz="4" w:space="0" w:color="auto"/>
            </w:tcBorders>
          </w:tcPr>
          <w:p w14:paraId="51B27755" w14:textId="77777777" w:rsidR="003C3B0A" w:rsidRPr="00DA193A" w:rsidRDefault="00FC159E" w:rsidP="00163B6F">
            <w:pPr>
              <w:pStyle w:val="Heading3"/>
              <w:numPr>
                <w:ilvl w:val="0"/>
                <w:numId w:val="0"/>
              </w:numPr>
              <w:spacing w:before="120" w:after="120"/>
              <w:rPr>
                <w:rFonts w:ascii="Arial" w:hAnsi="Arial" w:cs="Arial"/>
                <w:lang w:val="en-GB"/>
              </w:rPr>
            </w:pPr>
            <w:r w:rsidRPr="00DA193A">
              <w:rPr>
                <w:rFonts w:ascii="Arial" w:hAnsi="Arial" w:cs="Arial"/>
                <w:lang w:val="en-GB"/>
              </w:rPr>
              <w:t>Moderate</w:t>
            </w:r>
          </w:p>
        </w:tc>
        <w:tc>
          <w:tcPr>
            <w:tcW w:w="2055" w:type="pct"/>
            <w:tcBorders>
              <w:top w:val="single" w:sz="4" w:space="0" w:color="auto"/>
              <w:bottom w:val="single" w:sz="4" w:space="0" w:color="auto"/>
            </w:tcBorders>
          </w:tcPr>
          <w:p w14:paraId="4698DF21" w14:textId="77777777" w:rsidR="003C3B0A" w:rsidRPr="00DA193A" w:rsidRDefault="00FC159E" w:rsidP="00163B6F">
            <w:pPr>
              <w:pStyle w:val="Heading3"/>
              <w:numPr>
                <w:ilvl w:val="0"/>
                <w:numId w:val="0"/>
              </w:numPr>
              <w:spacing w:before="120" w:after="120"/>
              <w:rPr>
                <w:rFonts w:ascii="Arial" w:hAnsi="Arial" w:cs="Arial"/>
                <w:lang w:val="en-GB"/>
              </w:rPr>
            </w:pPr>
            <w:r w:rsidRPr="00DA193A">
              <w:rPr>
                <w:rFonts w:ascii="Arial" w:hAnsi="Arial" w:cs="Arial"/>
                <w:lang w:val="en-GB"/>
              </w:rPr>
              <w:t>Tier 2</w:t>
            </w:r>
          </w:p>
        </w:tc>
      </w:tr>
      <w:tr w:rsidR="00367724" w14:paraId="34EF24F8" w14:textId="77777777" w:rsidTr="00163B6F">
        <w:tc>
          <w:tcPr>
            <w:tcW w:w="2945" w:type="pct"/>
            <w:tcBorders>
              <w:top w:val="single" w:sz="4" w:space="0" w:color="auto"/>
              <w:bottom w:val="single" w:sz="12" w:space="0" w:color="auto"/>
            </w:tcBorders>
          </w:tcPr>
          <w:p w14:paraId="422A18C5" w14:textId="77777777" w:rsidR="003C3B0A" w:rsidRPr="00DA193A" w:rsidRDefault="00FC159E" w:rsidP="00163B6F">
            <w:pPr>
              <w:pStyle w:val="Heading3"/>
              <w:numPr>
                <w:ilvl w:val="0"/>
                <w:numId w:val="0"/>
              </w:numPr>
              <w:spacing w:before="120" w:after="120"/>
              <w:rPr>
                <w:rFonts w:ascii="Arial" w:hAnsi="Arial" w:cs="Arial"/>
                <w:lang w:val="en-GB"/>
              </w:rPr>
            </w:pPr>
            <w:r w:rsidRPr="00DA193A">
              <w:rPr>
                <w:rFonts w:ascii="Arial" w:hAnsi="Arial" w:cs="Arial"/>
                <w:lang w:val="en-GB"/>
              </w:rPr>
              <w:t>Low</w:t>
            </w:r>
          </w:p>
        </w:tc>
        <w:tc>
          <w:tcPr>
            <w:tcW w:w="2055" w:type="pct"/>
            <w:tcBorders>
              <w:top w:val="single" w:sz="4" w:space="0" w:color="auto"/>
              <w:bottom w:val="single" w:sz="12" w:space="0" w:color="auto"/>
            </w:tcBorders>
          </w:tcPr>
          <w:p w14:paraId="6405287D" w14:textId="77777777" w:rsidR="003C3B0A" w:rsidRPr="00DA193A" w:rsidRDefault="00FC159E" w:rsidP="00163B6F">
            <w:pPr>
              <w:pStyle w:val="Heading3"/>
              <w:numPr>
                <w:ilvl w:val="0"/>
                <w:numId w:val="0"/>
              </w:numPr>
              <w:spacing w:before="120" w:after="120"/>
              <w:rPr>
                <w:rFonts w:ascii="Arial" w:hAnsi="Arial" w:cs="Arial"/>
                <w:lang w:val="en-GB"/>
              </w:rPr>
            </w:pPr>
            <w:r w:rsidRPr="00DA193A">
              <w:rPr>
                <w:rFonts w:ascii="Arial" w:hAnsi="Arial" w:cs="Arial"/>
                <w:lang w:val="en-GB"/>
              </w:rPr>
              <w:t>Tier 3</w:t>
            </w:r>
          </w:p>
        </w:tc>
      </w:tr>
    </w:tbl>
    <w:p w14:paraId="556A049A" w14:textId="77777777" w:rsidR="005D2E14" w:rsidRPr="00DA193A" w:rsidRDefault="005D2E14" w:rsidP="00D02AA6">
      <w:pPr>
        <w:pStyle w:val="Heading3"/>
        <w:numPr>
          <w:ilvl w:val="0"/>
          <w:numId w:val="0"/>
        </w:numPr>
        <w:ind w:left="1474" w:hanging="737"/>
        <w:rPr>
          <w:lang w:val="en-GB"/>
        </w:rPr>
      </w:pPr>
    </w:p>
    <w:tbl>
      <w:tblPr>
        <w:tblStyle w:val="TableGrid"/>
        <w:tblW w:w="4636"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2"/>
        <w:gridCol w:w="3714"/>
      </w:tblGrid>
      <w:tr w:rsidR="00367724" w14:paraId="7F0696F3" w14:textId="77777777">
        <w:tc>
          <w:tcPr>
            <w:tcW w:w="2945" w:type="pct"/>
            <w:tcBorders>
              <w:top w:val="single" w:sz="12" w:space="0" w:color="auto"/>
              <w:bottom w:val="single" w:sz="12" w:space="0" w:color="auto"/>
            </w:tcBorders>
          </w:tcPr>
          <w:p w14:paraId="5F3F5EDC" w14:textId="77777777" w:rsidR="005D2E14" w:rsidRPr="00DA193A" w:rsidRDefault="00FC159E">
            <w:pPr>
              <w:pStyle w:val="Heading3"/>
              <w:numPr>
                <w:ilvl w:val="0"/>
                <w:numId w:val="0"/>
              </w:numPr>
              <w:spacing w:before="120" w:after="120"/>
              <w:rPr>
                <w:rFonts w:ascii="Arial" w:hAnsi="Arial" w:cs="Arial"/>
                <w:b/>
                <w:bCs/>
                <w:lang w:val="en-GB"/>
              </w:rPr>
            </w:pPr>
            <w:r w:rsidRPr="00DA193A">
              <w:rPr>
                <w:rFonts w:ascii="Arial" w:hAnsi="Arial" w:cs="Arial"/>
                <w:b/>
                <w:bCs/>
                <w:lang w:val="en-GB"/>
              </w:rPr>
              <w:t xml:space="preserve">If the risk that </w:t>
            </w:r>
            <w:r w:rsidR="0059717E" w:rsidRPr="00DA193A">
              <w:rPr>
                <w:rFonts w:ascii="Arial" w:hAnsi="Arial" w:cs="Arial"/>
                <w:b/>
                <w:bCs/>
                <w:lang w:val="en-GB"/>
              </w:rPr>
              <w:t>Australian child</w:t>
            </w:r>
            <w:r w:rsidR="00313F09" w:rsidRPr="00DA193A">
              <w:rPr>
                <w:rFonts w:ascii="Arial" w:hAnsi="Arial" w:cs="Arial"/>
                <w:b/>
                <w:bCs/>
                <w:lang w:val="en-GB"/>
              </w:rPr>
              <w:t>ren</w:t>
            </w:r>
            <w:r w:rsidR="0059717E" w:rsidRPr="00DA193A">
              <w:rPr>
                <w:rFonts w:ascii="Arial" w:hAnsi="Arial" w:cs="Arial"/>
                <w:b/>
                <w:bCs/>
                <w:lang w:val="en-GB"/>
              </w:rPr>
              <w:t xml:space="preserve"> will access or be exposed to </w:t>
            </w:r>
            <w:r w:rsidR="005658D2" w:rsidRPr="00DA193A">
              <w:rPr>
                <w:rFonts w:ascii="Arial" w:hAnsi="Arial" w:cs="Arial"/>
                <w:b/>
                <w:bCs/>
                <w:lang w:val="en-GB"/>
              </w:rPr>
              <w:t>self-harm material</w:t>
            </w:r>
            <w:r w:rsidRPr="00DA193A">
              <w:rPr>
                <w:rFonts w:ascii="Arial" w:hAnsi="Arial" w:cs="Arial"/>
                <w:b/>
                <w:bCs/>
                <w:lang w:val="en-GB"/>
              </w:rPr>
              <w:t xml:space="preserve"> on a service is …</w:t>
            </w:r>
          </w:p>
        </w:tc>
        <w:tc>
          <w:tcPr>
            <w:tcW w:w="2055" w:type="pct"/>
            <w:tcBorders>
              <w:top w:val="single" w:sz="12" w:space="0" w:color="auto"/>
              <w:bottom w:val="single" w:sz="12" w:space="0" w:color="auto"/>
            </w:tcBorders>
          </w:tcPr>
          <w:p w14:paraId="1D2712BD" w14:textId="77777777" w:rsidR="005D2E14" w:rsidRPr="00DA193A" w:rsidRDefault="00FC159E">
            <w:pPr>
              <w:pStyle w:val="Heading3"/>
              <w:numPr>
                <w:ilvl w:val="0"/>
                <w:numId w:val="0"/>
              </w:numPr>
              <w:spacing w:before="120" w:after="120"/>
              <w:rPr>
                <w:rFonts w:ascii="Arial" w:hAnsi="Arial" w:cs="Arial"/>
                <w:b/>
                <w:bCs/>
                <w:lang w:val="en-GB"/>
              </w:rPr>
            </w:pPr>
            <w:r w:rsidRPr="00DA193A">
              <w:rPr>
                <w:rFonts w:ascii="Arial" w:hAnsi="Arial" w:cs="Arial"/>
                <w:b/>
                <w:bCs/>
                <w:lang w:val="en-GB"/>
              </w:rPr>
              <w:t xml:space="preserve">the risk profile of the service in relation to </w:t>
            </w:r>
            <w:r w:rsidR="005658D2" w:rsidRPr="00DA193A">
              <w:rPr>
                <w:rFonts w:ascii="Arial" w:hAnsi="Arial" w:cs="Arial"/>
                <w:b/>
                <w:bCs/>
                <w:lang w:val="en-GB"/>
              </w:rPr>
              <w:t>self-harm material</w:t>
            </w:r>
            <w:r w:rsidRPr="00DA193A">
              <w:rPr>
                <w:rFonts w:ascii="Arial" w:hAnsi="Arial" w:cs="Arial"/>
                <w:b/>
                <w:bCs/>
                <w:lang w:val="en-GB"/>
              </w:rPr>
              <w:t xml:space="preserve"> is …</w:t>
            </w:r>
          </w:p>
        </w:tc>
      </w:tr>
      <w:tr w:rsidR="00367724" w14:paraId="0EE5C69C" w14:textId="77777777">
        <w:tc>
          <w:tcPr>
            <w:tcW w:w="2945" w:type="pct"/>
            <w:tcBorders>
              <w:top w:val="single" w:sz="12" w:space="0" w:color="auto"/>
              <w:bottom w:val="single" w:sz="4" w:space="0" w:color="auto"/>
            </w:tcBorders>
          </w:tcPr>
          <w:p w14:paraId="3AD9F49E" w14:textId="77777777" w:rsidR="005D2E14" w:rsidRPr="00DA193A" w:rsidRDefault="00FC159E">
            <w:pPr>
              <w:pStyle w:val="Heading3"/>
              <w:numPr>
                <w:ilvl w:val="0"/>
                <w:numId w:val="0"/>
              </w:numPr>
              <w:spacing w:before="120" w:after="120"/>
              <w:rPr>
                <w:rFonts w:ascii="Arial" w:hAnsi="Arial" w:cs="Arial"/>
                <w:lang w:val="en-GB"/>
              </w:rPr>
            </w:pPr>
            <w:r w:rsidRPr="00DA193A">
              <w:rPr>
                <w:rFonts w:ascii="Arial" w:hAnsi="Arial" w:cs="Arial"/>
                <w:lang w:val="en-GB"/>
              </w:rPr>
              <w:t xml:space="preserve">High </w:t>
            </w:r>
          </w:p>
        </w:tc>
        <w:tc>
          <w:tcPr>
            <w:tcW w:w="2055" w:type="pct"/>
            <w:tcBorders>
              <w:top w:val="single" w:sz="12" w:space="0" w:color="auto"/>
              <w:bottom w:val="single" w:sz="4" w:space="0" w:color="auto"/>
            </w:tcBorders>
          </w:tcPr>
          <w:p w14:paraId="568A337B" w14:textId="77777777" w:rsidR="005D2E14" w:rsidRPr="00DA193A" w:rsidRDefault="00FC159E">
            <w:pPr>
              <w:pStyle w:val="Heading3"/>
              <w:numPr>
                <w:ilvl w:val="0"/>
                <w:numId w:val="0"/>
              </w:numPr>
              <w:spacing w:before="120" w:after="120"/>
              <w:rPr>
                <w:rFonts w:ascii="Arial" w:hAnsi="Arial" w:cs="Arial"/>
                <w:lang w:val="en-GB"/>
              </w:rPr>
            </w:pPr>
            <w:r w:rsidRPr="00DA193A">
              <w:rPr>
                <w:rFonts w:ascii="Arial" w:hAnsi="Arial" w:cs="Arial"/>
                <w:lang w:val="en-GB"/>
              </w:rPr>
              <w:t>Tier 1</w:t>
            </w:r>
          </w:p>
        </w:tc>
      </w:tr>
      <w:tr w:rsidR="00367724" w14:paraId="75C3B116" w14:textId="77777777">
        <w:tc>
          <w:tcPr>
            <w:tcW w:w="2945" w:type="pct"/>
            <w:tcBorders>
              <w:top w:val="single" w:sz="4" w:space="0" w:color="auto"/>
              <w:bottom w:val="single" w:sz="4" w:space="0" w:color="auto"/>
            </w:tcBorders>
          </w:tcPr>
          <w:p w14:paraId="200108BE" w14:textId="77777777" w:rsidR="005D2E14" w:rsidRPr="00DA193A" w:rsidRDefault="00FC159E">
            <w:pPr>
              <w:pStyle w:val="Heading3"/>
              <w:numPr>
                <w:ilvl w:val="0"/>
                <w:numId w:val="0"/>
              </w:numPr>
              <w:spacing w:before="120" w:after="120"/>
              <w:rPr>
                <w:rFonts w:ascii="Arial" w:hAnsi="Arial" w:cs="Arial"/>
                <w:lang w:val="en-GB"/>
              </w:rPr>
            </w:pPr>
            <w:r w:rsidRPr="00DA193A">
              <w:rPr>
                <w:rFonts w:ascii="Arial" w:hAnsi="Arial" w:cs="Arial"/>
                <w:lang w:val="en-GB"/>
              </w:rPr>
              <w:t>Moderate</w:t>
            </w:r>
          </w:p>
        </w:tc>
        <w:tc>
          <w:tcPr>
            <w:tcW w:w="2055" w:type="pct"/>
            <w:tcBorders>
              <w:top w:val="single" w:sz="4" w:space="0" w:color="auto"/>
              <w:bottom w:val="single" w:sz="4" w:space="0" w:color="auto"/>
            </w:tcBorders>
          </w:tcPr>
          <w:p w14:paraId="62B93218" w14:textId="77777777" w:rsidR="005D2E14" w:rsidRPr="00DA193A" w:rsidRDefault="00FC159E">
            <w:pPr>
              <w:pStyle w:val="Heading3"/>
              <w:numPr>
                <w:ilvl w:val="0"/>
                <w:numId w:val="0"/>
              </w:numPr>
              <w:spacing w:before="120" w:after="120"/>
              <w:rPr>
                <w:rFonts w:ascii="Arial" w:hAnsi="Arial" w:cs="Arial"/>
                <w:lang w:val="en-GB"/>
              </w:rPr>
            </w:pPr>
            <w:r w:rsidRPr="00DA193A">
              <w:rPr>
                <w:rFonts w:ascii="Arial" w:hAnsi="Arial" w:cs="Arial"/>
                <w:lang w:val="en-GB"/>
              </w:rPr>
              <w:t>Tier 2</w:t>
            </w:r>
          </w:p>
        </w:tc>
      </w:tr>
      <w:tr w:rsidR="00367724" w14:paraId="3AD9DA07" w14:textId="77777777">
        <w:tc>
          <w:tcPr>
            <w:tcW w:w="2945" w:type="pct"/>
            <w:tcBorders>
              <w:top w:val="single" w:sz="4" w:space="0" w:color="auto"/>
              <w:bottom w:val="single" w:sz="12" w:space="0" w:color="auto"/>
            </w:tcBorders>
          </w:tcPr>
          <w:p w14:paraId="6F6D882F" w14:textId="77777777" w:rsidR="005D2E14" w:rsidRPr="00DA193A" w:rsidRDefault="00FC159E">
            <w:pPr>
              <w:pStyle w:val="Heading3"/>
              <w:numPr>
                <w:ilvl w:val="0"/>
                <w:numId w:val="0"/>
              </w:numPr>
              <w:spacing w:before="120" w:after="120"/>
              <w:rPr>
                <w:lang w:val="en-GB"/>
              </w:rPr>
            </w:pPr>
            <w:r w:rsidRPr="00DA193A">
              <w:rPr>
                <w:rFonts w:ascii="Arial" w:hAnsi="Arial" w:cs="Arial"/>
                <w:lang w:val="en-GB"/>
              </w:rPr>
              <w:t>Low</w:t>
            </w:r>
          </w:p>
        </w:tc>
        <w:tc>
          <w:tcPr>
            <w:tcW w:w="2055" w:type="pct"/>
            <w:tcBorders>
              <w:top w:val="single" w:sz="4" w:space="0" w:color="auto"/>
              <w:bottom w:val="single" w:sz="12" w:space="0" w:color="auto"/>
            </w:tcBorders>
          </w:tcPr>
          <w:p w14:paraId="580E6231" w14:textId="77777777" w:rsidR="005D2E14" w:rsidRPr="00DA193A" w:rsidRDefault="00FC159E">
            <w:pPr>
              <w:pStyle w:val="Heading3"/>
              <w:numPr>
                <w:ilvl w:val="0"/>
                <w:numId w:val="0"/>
              </w:numPr>
              <w:spacing w:before="120" w:after="120"/>
              <w:rPr>
                <w:lang w:val="en-GB"/>
              </w:rPr>
            </w:pPr>
            <w:r w:rsidRPr="00DA193A">
              <w:rPr>
                <w:rFonts w:ascii="Arial" w:hAnsi="Arial" w:cs="Arial"/>
                <w:lang w:val="en-GB"/>
              </w:rPr>
              <w:t>Tier 3</w:t>
            </w:r>
          </w:p>
        </w:tc>
      </w:tr>
    </w:tbl>
    <w:p w14:paraId="528E0B6B" w14:textId="77777777" w:rsidR="005D2E14" w:rsidRPr="00DA193A" w:rsidRDefault="005D2E14">
      <w:pPr>
        <w:pStyle w:val="Heading3"/>
        <w:numPr>
          <w:ilvl w:val="0"/>
          <w:numId w:val="0"/>
        </w:numPr>
        <w:ind w:left="1474" w:hanging="737"/>
        <w:rPr>
          <w:lang w:val="en-GB"/>
        </w:rPr>
      </w:pPr>
    </w:p>
    <w:tbl>
      <w:tblPr>
        <w:tblStyle w:val="TableGrid"/>
        <w:tblW w:w="4636"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2"/>
        <w:gridCol w:w="3714"/>
      </w:tblGrid>
      <w:tr w:rsidR="00367724" w14:paraId="6C34126F" w14:textId="77777777" w:rsidTr="00EE4BA3">
        <w:tc>
          <w:tcPr>
            <w:tcW w:w="2945" w:type="pct"/>
            <w:tcBorders>
              <w:top w:val="single" w:sz="12" w:space="0" w:color="auto"/>
              <w:bottom w:val="single" w:sz="12" w:space="0" w:color="auto"/>
            </w:tcBorders>
          </w:tcPr>
          <w:p w14:paraId="2E58EFA6" w14:textId="77777777" w:rsidR="00DD321B" w:rsidRPr="00DA193A" w:rsidRDefault="00FC159E" w:rsidP="00F97AB0">
            <w:pPr>
              <w:pStyle w:val="Heading3"/>
              <w:keepNext/>
              <w:numPr>
                <w:ilvl w:val="0"/>
                <w:numId w:val="0"/>
              </w:numPr>
              <w:spacing w:before="120" w:after="120"/>
              <w:rPr>
                <w:rFonts w:ascii="Arial" w:hAnsi="Arial" w:cs="Arial"/>
                <w:b/>
                <w:bCs/>
                <w:lang w:val="en-GB"/>
              </w:rPr>
            </w:pPr>
            <w:r w:rsidRPr="00DA193A">
              <w:rPr>
                <w:rFonts w:ascii="Arial" w:hAnsi="Arial" w:cs="Arial"/>
                <w:b/>
                <w:bCs/>
                <w:lang w:val="en-GB"/>
              </w:rPr>
              <w:t xml:space="preserve">If the risk that </w:t>
            </w:r>
            <w:r w:rsidR="0059717E" w:rsidRPr="00DA193A">
              <w:rPr>
                <w:rFonts w:ascii="Arial" w:hAnsi="Arial" w:cs="Arial"/>
                <w:b/>
                <w:bCs/>
                <w:lang w:val="en-GB"/>
              </w:rPr>
              <w:t>Australian child</w:t>
            </w:r>
            <w:r w:rsidR="00313F09" w:rsidRPr="00DA193A">
              <w:rPr>
                <w:rFonts w:ascii="Arial" w:hAnsi="Arial" w:cs="Arial"/>
                <w:b/>
                <w:bCs/>
                <w:lang w:val="en-GB"/>
              </w:rPr>
              <w:t>ren</w:t>
            </w:r>
            <w:r w:rsidR="0059717E" w:rsidRPr="00DA193A">
              <w:rPr>
                <w:rFonts w:ascii="Arial" w:hAnsi="Arial" w:cs="Arial"/>
                <w:b/>
                <w:bCs/>
                <w:lang w:val="en-GB"/>
              </w:rPr>
              <w:t xml:space="preserve"> will access or be exposed to </w:t>
            </w:r>
            <w:r w:rsidRPr="00DA193A">
              <w:rPr>
                <w:rFonts w:ascii="Arial" w:hAnsi="Arial" w:cs="Arial"/>
                <w:b/>
                <w:bCs/>
                <w:lang w:val="en-GB"/>
              </w:rPr>
              <w:t>high-impact violence material on a service is …</w:t>
            </w:r>
          </w:p>
        </w:tc>
        <w:tc>
          <w:tcPr>
            <w:tcW w:w="2055" w:type="pct"/>
            <w:tcBorders>
              <w:top w:val="single" w:sz="12" w:space="0" w:color="auto"/>
              <w:bottom w:val="single" w:sz="12" w:space="0" w:color="auto"/>
            </w:tcBorders>
          </w:tcPr>
          <w:p w14:paraId="24EE7CBD" w14:textId="77777777" w:rsidR="00DD321B" w:rsidRPr="00DA193A" w:rsidRDefault="00FC159E" w:rsidP="00F97AB0">
            <w:pPr>
              <w:pStyle w:val="Heading3"/>
              <w:keepNext/>
              <w:numPr>
                <w:ilvl w:val="0"/>
                <w:numId w:val="0"/>
              </w:numPr>
              <w:spacing w:before="120" w:after="120"/>
              <w:rPr>
                <w:rFonts w:ascii="Arial" w:hAnsi="Arial" w:cs="Arial"/>
                <w:b/>
                <w:bCs/>
                <w:lang w:val="en-GB"/>
              </w:rPr>
            </w:pPr>
            <w:r w:rsidRPr="00DA193A">
              <w:rPr>
                <w:rFonts w:ascii="Arial" w:hAnsi="Arial" w:cs="Arial"/>
                <w:b/>
                <w:bCs/>
                <w:lang w:val="en-GB"/>
              </w:rPr>
              <w:t>the risk profile of the service in relation to high-impact violence material is …</w:t>
            </w:r>
          </w:p>
        </w:tc>
      </w:tr>
      <w:tr w:rsidR="00367724" w14:paraId="456CEED6" w14:textId="77777777" w:rsidTr="00EE4BA3">
        <w:tc>
          <w:tcPr>
            <w:tcW w:w="2945" w:type="pct"/>
            <w:tcBorders>
              <w:top w:val="single" w:sz="12" w:space="0" w:color="auto"/>
              <w:bottom w:val="single" w:sz="4" w:space="0" w:color="auto"/>
            </w:tcBorders>
          </w:tcPr>
          <w:p w14:paraId="24B419DF" w14:textId="77777777" w:rsidR="00DD321B" w:rsidRPr="00DA193A" w:rsidRDefault="00FC159E" w:rsidP="00F97AB0">
            <w:pPr>
              <w:pStyle w:val="Heading3"/>
              <w:keepNext/>
              <w:numPr>
                <w:ilvl w:val="0"/>
                <w:numId w:val="0"/>
              </w:numPr>
              <w:spacing w:before="120" w:after="120"/>
              <w:rPr>
                <w:rFonts w:ascii="Arial" w:hAnsi="Arial" w:cs="Arial"/>
                <w:lang w:val="en-GB"/>
              </w:rPr>
            </w:pPr>
            <w:r w:rsidRPr="00DA193A">
              <w:rPr>
                <w:rFonts w:ascii="Arial" w:hAnsi="Arial" w:cs="Arial"/>
                <w:lang w:val="en-GB"/>
              </w:rPr>
              <w:t xml:space="preserve">High </w:t>
            </w:r>
          </w:p>
        </w:tc>
        <w:tc>
          <w:tcPr>
            <w:tcW w:w="2055" w:type="pct"/>
            <w:tcBorders>
              <w:top w:val="single" w:sz="12" w:space="0" w:color="auto"/>
              <w:bottom w:val="single" w:sz="4" w:space="0" w:color="auto"/>
            </w:tcBorders>
          </w:tcPr>
          <w:p w14:paraId="2C514911" w14:textId="77777777" w:rsidR="00DD321B" w:rsidRPr="00DA193A" w:rsidRDefault="00FC159E" w:rsidP="00F97AB0">
            <w:pPr>
              <w:pStyle w:val="Heading3"/>
              <w:keepNext/>
              <w:numPr>
                <w:ilvl w:val="0"/>
                <w:numId w:val="0"/>
              </w:numPr>
              <w:spacing w:before="120" w:after="120"/>
              <w:rPr>
                <w:rFonts w:ascii="Arial" w:hAnsi="Arial" w:cs="Arial"/>
                <w:lang w:val="en-GB"/>
              </w:rPr>
            </w:pPr>
            <w:r w:rsidRPr="00DA193A">
              <w:rPr>
                <w:rFonts w:ascii="Arial" w:hAnsi="Arial" w:cs="Arial"/>
                <w:lang w:val="en-GB"/>
              </w:rPr>
              <w:t>Tier 1</w:t>
            </w:r>
          </w:p>
        </w:tc>
      </w:tr>
      <w:tr w:rsidR="00367724" w14:paraId="5568ED05" w14:textId="77777777" w:rsidTr="00EE4BA3">
        <w:tc>
          <w:tcPr>
            <w:tcW w:w="2945" w:type="pct"/>
            <w:tcBorders>
              <w:top w:val="single" w:sz="4" w:space="0" w:color="auto"/>
              <w:bottom w:val="single" w:sz="4" w:space="0" w:color="auto"/>
            </w:tcBorders>
          </w:tcPr>
          <w:p w14:paraId="7F136387" w14:textId="77777777" w:rsidR="00DD321B" w:rsidRPr="00DA193A" w:rsidRDefault="00FC159E" w:rsidP="00F97AB0">
            <w:pPr>
              <w:pStyle w:val="Heading3"/>
              <w:keepNext/>
              <w:numPr>
                <w:ilvl w:val="0"/>
                <w:numId w:val="0"/>
              </w:numPr>
              <w:spacing w:before="120" w:after="120"/>
              <w:rPr>
                <w:rFonts w:ascii="Arial" w:hAnsi="Arial" w:cs="Arial"/>
                <w:lang w:val="en-GB"/>
              </w:rPr>
            </w:pPr>
            <w:r w:rsidRPr="00DA193A">
              <w:rPr>
                <w:rFonts w:ascii="Arial" w:hAnsi="Arial" w:cs="Arial"/>
                <w:lang w:val="en-GB"/>
              </w:rPr>
              <w:t>Moderate</w:t>
            </w:r>
          </w:p>
        </w:tc>
        <w:tc>
          <w:tcPr>
            <w:tcW w:w="2055" w:type="pct"/>
            <w:tcBorders>
              <w:top w:val="single" w:sz="4" w:space="0" w:color="auto"/>
              <w:bottom w:val="single" w:sz="4" w:space="0" w:color="auto"/>
            </w:tcBorders>
          </w:tcPr>
          <w:p w14:paraId="25DE1F71" w14:textId="77777777" w:rsidR="00DD321B" w:rsidRPr="00DA193A" w:rsidRDefault="00FC159E" w:rsidP="00F97AB0">
            <w:pPr>
              <w:pStyle w:val="Heading3"/>
              <w:keepNext/>
              <w:numPr>
                <w:ilvl w:val="0"/>
                <w:numId w:val="0"/>
              </w:numPr>
              <w:spacing w:before="120" w:after="120"/>
              <w:rPr>
                <w:rFonts w:ascii="Arial" w:hAnsi="Arial" w:cs="Arial"/>
                <w:lang w:val="en-GB"/>
              </w:rPr>
            </w:pPr>
            <w:r w:rsidRPr="00DA193A">
              <w:rPr>
                <w:rFonts w:ascii="Arial" w:hAnsi="Arial" w:cs="Arial"/>
                <w:lang w:val="en-GB"/>
              </w:rPr>
              <w:t>Tier 2</w:t>
            </w:r>
          </w:p>
        </w:tc>
      </w:tr>
      <w:tr w:rsidR="00367724" w14:paraId="409F8384" w14:textId="77777777" w:rsidTr="00EE4BA3">
        <w:tc>
          <w:tcPr>
            <w:tcW w:w="2945" w:type="pct"/>
            <w:tcBorders>
              <w:top w:val="single" w:sz="4" w:space="0" w:color="auto"/>
              <w:bottom w:val="single" w:sz="12" w:space="0" w:color="auto"/>
            </w:tcBorders>
          </w:tcPr>
          <w:p w14:paraId="3559B0C8" w14:textId="77777777" w:rsidR="00DD321B" w:rsidRPr="00DA193A" w:rsidRDefault="00FC159E" w:rsidP="00EE4BA3">
            <w:pPr>
              <w:pStyle w:val="Heading3"/>
              <w:numPr>
                <w:ilvl w:val="0"/>
                <w:numId w:val="0"/>
              </w:numPr>
              <w:spacing w:before="120" w:after="120"/>
              <w:rPr>
                <w:lang w:val="en-GB"/>
              </w:rPr>
            </w:pPr>
            <w:r w:rsidRPr="00DA193A">
              <w:rPr>
                <w:rFonts w:ascii="Arial" w:hAnsi="Arial" w:cs="Arial"/>
                <w:lang w:val="en-GB"/>
              </w:rPr>
              <w:t>Low</w:t>
            </w:r>
          </w:p>
        </w:tc>
        <w:tc>
          <w:tcPr>
            <w:tcW w:w="2055" w:type="pct"/>
            <w:tcBorders>
              <w:top w:val="single" w:sz="4" w:space="0" w:color="auto"/>
              <w:bottom w:val="single" w:sz="12" w:space="0" w:color="auto"/>
            </w:tcBorders>
          </w:tcPr>
          <w:p w14:paraId="4CDFCBF0" w14:textId="77777777" w:rsidR="00DD321B" w:rsidRPr="00DA193A" w:rsidRDefault="00FC159E" w:rsidP="00EE4BA3">
            <w:pPr>
              <w:pStyle w:val="Heading3"/>
              <w:numPr>
                <w:ilvl w:val="0"/>
                <w:numId w:val="0"/>
              </w:numPr>
              <w:spacing w:before="120" w:after="120"/>
              <w:rPr>
                <w:lang w:val="en-GB"/>
              </w:rPr>
            </w:pPr>
            <w:r w:rsidRPr="00DA193A">
              <w:rPr>
                <w:rFonts w:ascii="Arial" w:hAnsi="Arial" w:cs="Arial"/>
                <w:lang w:val="en-GB"/>
              </w:rPr>
              <w:t>Tier 3</w:t>
            </w:r>
          </w:p>
        </w:tc>
      </w:tr>
    </w:tbl>
    <w:p w14:paraId="428523D0" w14:textId="77777777" w:rsidR="00DD321B" w:rsidRPr="00DA193A" w:rsidRDefault="00DD321B" w:rsidP="00D02AA6">
      <w:pPr>
        <w:pStyle w:val="Heading3"/>
        <w:numPr>
          <w:ilvl w:val="0"/>
          <w:numId w:val="0"/>
        </w:numPr>
        <w:spacing w:after="0"/>
        <w:ind w:left="1474" w:hanging="737"/>
        <w:rPr>
          <w:lang w:val="en-GB"/>
        </w:rPr>
      </w:pPr>
    </w:p>
    <w:p w14:paraId="08BBB9A2" w14:textId="77777777" w:rsidR="00D02AA6" w:rsidRDefault="00FC159E" w:rsidP="00D02AA6">
      <w:pPr>
        <w:pStyle w:val="Heading3"/>
        <w:numPr>
          <w:ilvl w:val="0"/>
          <w:numId w:val="0"/>
        </w:numPr>
        <w:ind w:left="737"/>
        <w:rPr>
          <w:lang w:val="en-GB"/>
        </w:rPr>
      </w:pPr>
      <w:r w:rsidRPr="00DA193A">
        <w:rPr>
          <w:lang w:val="en-GB"/>
        </w:rPr>
        <w:t>For the avoidance of doubt, where a risk assessment is required under this clause in relation to a social media service that includes a messaging feature, the messaging feature will not be considered as part of the risk assessment</w:t>
      </w:r>
      <w:r w:rsidR="000C7C5A" w:rsidRPr="00DA193A">
        <w:rPr>
          <w:lang w:val="en-GB"/>
        </w:rPr>
        <w:t xml:space="preserve"> and the risk assessment </w:t>
      </w:r>
      <w:r w:rsidRPr="00DA193A">
        <w:rPr>
          <w:lang w:val="en-GB"/>
        </w:rPr>
        <w:t>will only apply in relation to the other features of the service.</w:t>
      </w:r>
    </w:p>
    <w:p w14:paraId="24CD31E0" w14:textId="77777777" w:rsidR="005D2E14" w:rsidRPr="00DA193A" w:rsidRDefault="00FC159E">
      <w:pPr>
        <w:pStyle w:val="Heading2"/>
        <w:rPr>
          <w:rFonts w:eastAsia="Cambria"/>
        </w:rPr>
      </w:pPr>
      <w:bookmarkStart w:id="17" w:name="_Ref119595492"/>
      <w:r w:rsidRPr="00DA193A">
        <w:rPr>
          <w:rFonts w:eastAsia="Cambria"/>
        </w:rPr>
        <w:t>Methodology used for risk assessment and documentation</w:t>
      </w:r>
      <w:bookmarkEnd w:id="17"/>
    </w:p>
    <w:p w14:paraId="6EFF36CA" w14:textId="77777777" w:rsidR="005D2E14" w:rsidRPr="00DA193A" w:rsidRDefault="00FC159E">
      <w:pPr>
        <w:pStyle w:val="SchedH3"/>
        <w:keepNext/>
        <w:numPr>
          <w:ilvl w:val="0"/>
          <w:numId w:val="0"/>
        </w:numPr>
        <w:ind w:left="709"/>
        <w:rPr>
          <w:rFonts w:eastAsia="Cambria"/>
        </w:rPr>
      </w:pPr>
      <w:r w:rsidRPr="00DA193A">
        <w:rPr>
          <w:rFonts w:eastAsia="Cambria"/>
        </w:rPr>
        <w:t>If a risk assessment is required under this Code, the provider of the relevant social media service must:</w:t>
      </w:r>
    </w:p>
    <w:p w14:paraId="4FE5CA1C" w14:textId="77777777" w:rsidR="00BF0E54" w:rsidRPr="00DA193A" w:rsidRDefault="00FC159E">
      <w:pPr>
        <w:pStyle w:val="Heading3"/>
        <w:rPr>
          <w:lang w:val="en-GB"/>
        </w:rPr>
      </w:pPr>
      <w:bookmarkStart w:id="18" w:name="_Ref174366400"/>
      <w:r w:rsidRPr="00DA193A">
        <w:rPr>
          <w:rFonts w:eastAsia="Cambria"/>
        </w:rPr>
        <w:t xml:space="preserve">be able to reasonably demonstrate that the provider's risk </w:t>
      </w:r>
      <w:r w:rsidRPr="00DA193A">
        <w:rPr>
          <w:lang w:val="en-GB"/>
        </w:rPr>
        <w:t>assessment methodology is based on reasonable criteria which must at a minimum include criteria relating to the functionality, purpose and scale of the social media service</w:t>
      </w:r>
      <w:r w:rsidR="00D1593E" w:rsidRPr="00DA193A">
        <w:rPr>
          <w:lang w:val="en-GB"/>
        </w:rPr>
        <w:t xml:space="preserve"> (including </w:t>
      </w:r>
      <w:r w:rsidR="00821209" w:rsidRPr="00DA193A">
        <w:rPr>
          <w:lang w:val="en-GB"/>
        </w:rPr>
        <w:t>whether the service enables end-users in Australia to post or share material</w:t>
      </w:r>
      <w:r w:rsidR="00D1593E" w:rsidRPr="00DA193A">
        <w:rPr>
          <w:lang w:val="en-GB"/>
        </w:rPr>
        <w:t xml:space="preserve"> and any </w:t>
      </w:r>
      <w:r w:rsidR="003C735E" w:rsidRPr="00DA193A">
        <w:rPr>
          <w:lang w:val="en-GB"/>
        </w:rPr>
        <w:t xml:space="preserve">generative AI </w:t>
      </w:r>
      <w:r w:rsidR="00D1593E" w:rsidRPr="00DA193A">
        <w:rPr>
          <w:lang w:val="en-GB"/>
        </w:rPr>
        <w:t>features of the service)</w:t>
      </w:r>
      <w:r w:rsidR="002C64AF" w:rsidRPr="00DA193A">
        <w:rPr>
          <w:lang w:val="en-GB"/>
        </w:rPr>
        <w:t xml:space="preserve"> </w:t>
      </w:r>
      <w:r w:rsidR="00501A4F">
        <w:rPr>
          <w:lang w:val="en-GB"/>
        </w:rPr>
        <w:t xml:space="preserve">or AI companion chatbot feature (as applicable) </w:t>
      </w:r>
      <w:r w:rsidR="002C64AF" w:rsidRPr="00DA193A">
        <w:rPr>
          <w:lang w:val="en-GB"/>
        </w:rPr>
        <w:t>and</w:t>
      </w:r>
      <w:r w:rsidRPr="00DA193A">
        <w:rPr>
          <w:lang w:val="en-GB"/>
        </w:rPr>
        <w:t xml:space="preserve">, </w:t>
      </w:r>
      <w:r w:rsidR="00D1593E" w:rsidRPr="00DA193A">
        <w:rPr>
          <w:lang w:val="en-GB"/>
        </w:rPr>
        <w:t xml:space="preserve">to the extent </w:t>
      </w:r>
      <w:r w:rsidR="002C64AF" w:rsidRPr="00DA193A">
        <w:rPr>
          <w:lang w:val="en-GB"/>
        </w:rPr>
        <w:t xml:space="preserve">reasonably </w:t>
      </w:r>
      <w:r w:rsidR="00D1593E" w:rsidRPr="00DA193A">
        <w:rPr>
          <w:lang w:val="en-GB"/>
        </w:rPr>
        <w:t>relevant</w:t>
      </w:r>
      <w:r w:rsidR="002C64AF" w:rsidRPr="00DA193A">
        <w:rPr>
          <w:lang w:val="en-GB"/>
        </w:rPr>
        <w:t>,</w:t>
      </w:r>
      <w:r w:rsidR="00D1593E" w:rsidRPr="00DA193A">
        <w:rPr>
          <w:lang w:val="en-GB"/>
        </w:rPr>
        <w:t xml:space="preserve"> </w:t>
      </w:r>
      <w:r w:rsidRPr="00DA193A">
        <w:rPr>
          <w:lang w:val="en-GB"/>
        </w:rPr>
        <w:t xml:space="preserve">the </w:t>
      </w:r>
      <w:r w:rsidR="00D1593E" w:rsidRPr="00DA193A">
        <w:rPr>
          <w:lang w:val="en-GB"/>
        </w:rPr>
        <w:t xml:space="preserve">additional </w:t>
      </w:r>
      <w:r w:rsidRPr="00DA193A">
        <w:rPr>
          <w:lang w:val="en-GB"/>
        </w:rPr>
        <w:t xml:space="preserve">requirements set out in clause </w:t>
      </w:r>
      <w:r w:rsidRPr="00DA193A">
        <w:rPr>
          <w:lang w:val="en-GB"/>
        </w:rPr>
        <w:fldChar w:fldCharType="begin"/>
      </w:r>
      <w:r w:rsidRPr="00DA193A">
        <w:rPr>
          <w:lang w:val="en-GB"/>
        </w:rPr>
        <w:instrText xml:space="preserve"> REF _Ref171676702 \r \h  \* MERGEFORMAT </w:instrText>
      </w:r>
      <w:r w:rsidRPr="00DA193A">
        <w:rPr>
          <w:lang w:val="en-GB"/>
        </w:rPr>
      </w:r>
      <w:r w:rsidRPr="00DA193A">
        <w:rPr>
          <w:lang w:val="en-GB"/>
        </w:rPr>
        <w:fldChar w:fldCharType="separate"/>
      </w:r>
      <w:r w:rsidR="006E374E">
        <w:rPr>
          <w:lang w:val="en-GB"/>
        </w:rPr>
        <w:t>5</w:t>
      </w:r>
      <w:r w:rsidRPr="00DA193A">
        <w:rPr>
          <w:lang w:val="en-GB"/>
        </w:rPr>
        <w:fldChar w:fldCharType="end"/>
      </w:r>
      <w:r w:rsidR="003C735E" w:rsidRPr="00DA193A">
        <w:rPr>
          <w:lang w:val="en-GB"/>
        </w:rPr>
        <w:t xml:space="preserve"> and any other criteria that are reasonably relevant for the purposes of determining the risk profile of the social media service under this Code</w:t>
      </w:r>
      <w:r w:rsidRPr="00DA193A">
        <w:rPr>
          <w:lang w:val="en-GB"/>
        </w:rPr>
        <w:t xml:space="preserve">; </w:t>
      </w:r>
      <w:bookmarkEnd w:id="18"/>
    </w:p>
    <w:p w14:paraId="3D876F36" w14:textId="77777777" w:rsidR="005D2E14" w:rsidRPr="00DA193A" w:rsidRDefault="00FC159E">
      <w:pPr>
        <w:pStyle w:val="Heading3"/>
        <w:rPr>
          <w:lang w:val="en-GB"/>
        </w:rPr>
      </w:pPr>
      <w:r w:rsidRPr="00DA193A">
        <w:rPr>
          <w:lang w:val="en-GB"/>
        </w:rPr>
        <w:t>formulate in writing a plan and methodology for carrying out the risk assessment that ensures that each risk factor is accurately accessed;</w:t>
      </w:r>
    </w:p>
    <w:p w14:paraId="0FC238B2" w14:textId="77777777" w:rsidR="005D2E14" w:rsidRPr="00DA193A" w:rsidRDefault="00FC159E">
      <w:pPr>
        <w:pStyle w:val="Heading3"/>
        <w:rPr>
          <w:lang w:val="en-GB"/>
        </w:rPr>
      </w:pPr>
      <w:r w:rsidRPr="00DA193A">
        <w:rPr>
          <w:lang w:val="en-GB"/>
        </w:rPr>
        <w:t xml:space="preserve">carry out the risk assessment in accordance with the plan and methodology prepared under clause </w:t>
      </w:r>
      <w:r w:rsidRPr="00DA193A">
        <w:rPr>
          <w:lang w:val="en-GB"/>
        </w:rPr>
        <w:fldChar w:fldCharType="begin"/>
      </w:r>
      <w:r w:rsidRPr="00DA193A">
        <w:rPr>
          <w:lang w:val="en-GB"/>
        </w:rPr>
        <w:instrText xml:space="preserve"> REF _Ref119595492 \n \h </w:instrText>
      </w:r>
      <w:r w:rsidR="00A304F2" w:rsidRPr="00DA193A">
        <w:rPr>
          <w:lang w:val="en-GB"/>
        </w:rPr>
        <w:instrText xml:space="preserve"> \* MERGEFORMAT </w:instrText>
      </w:r>
      <w:r w:rsidRPr="00DA193A">
        <w:rPr>
          <w:lang w:val="en-GB"/>
        </w:rPr>
      </w:r>
      <w:r w:rsidRPr="00DA193A">
        <w:rPr>
          <w:lang w:val="en-GB"/>
        </w:rPr>
        <w:fldChar w:fldCharType="separate"/>
      </w:r>
      <w:r w:rsidR="006E374E">
        <w:rPr>
          <w:lang w:val="en-GB"/>
        </w:rPr>
        <w:t>4.3</w:t>
      </w:r>
      <w:r w:rsidRPr="00DA193A">
        <w:rPr>
          <w:lang w:val="en-GB"/>
        </w:rPr>
        <w:fldChar w:fldCharType="end"/>
      </w:r>
      <w:r w:rsidRPr="00DA193A">
        <w:rPr>
          <w:lang w:val="en-GB"/>
        </w:rPr>
        <w:fldChar w:fldCharType="begin"/>
      </w:r>
      <w:r w:rsidRPr="00DA193A">
        <w:rPr>
          <w:lang w:val="en-GB"/>
        </w:rPr>
        <w:instrText xml:space="preserve"> REF _Ref174366400 \n \h </w:instrText>
      </w:r>
      <w:r w:rsidR="00A304F2" w:rsidRPr="00DA193A">
        <w:rPr>
          <w:lang w:val="en-GB"/>
        </w:rPr>
        <w:instrText xml:space="preserve"> \* MERGEFORMAT </w:instrText>
      </w:r>
      <w:r w:rsidRPr="00DA193A">
        <w:rPr>
          <w:lang w:val="en-GB"/>
        </w:rPr>
      </w:r>
      <w:r w:rsidRPr="00DA193A">
        <w:rPr>
          <w:lang w:val="en-GB"/>
        </w:rPr>
        <w:fldChar w:fldCharType="separate"/>
      </w:r>
      <w:r w:rsidR="006E374E">
        <w:rPr>
          <w:lang w:val="en-GB"/>
        </w:rPr>
        <w:t>(a)</w:t>
      </w:r>
      <w:r w:rsidRPr="00DA193A">
        <w:rPr>
          <w:lang w:val="en-GB"/>
        </w:rPr>
        <w:fldChar w:fldCharType="end"/>
      </w:r>
      <w:r w:rsidRPr="00DA193A">
        <w:rPr>
          <w:lang w:val="en-GB"/>
        </w:rPr>
        <w:t>, and by persons with the relevant skills, experience and expertise; and</w:t>
      </w:r>
    </w:p>
    <w:p w14:paraId="2905C27B" w14:textId="77777777" w:rsidR="0021676F" w:rsidRPr="00DA193A" w:rsidRDefault="00FC159E" w:rsidP="00C3675E">
      <w:pPr>
        <w:pStyle w:val="Heading3"/>
        <w:rPr>
          <w:rFonts w:eastAsia="Cambria"/>
        </w:rPr>
      </w:pPr>
      <w:r w:rsidRPr="00DA193A">
        <w:rPr>
          <w:rFonts w:eastAsia="Cambria"/>
        </w:rPr>
        <w:t xml:space="preserve">as soon as practicable after determining the risk profile of a </w:t>
      </w:r>
      <w:r w:rsidR="007E3292" w:rsidRPr="00DA193A">
        <w:rPr>
          <w:rFonts w:eastAsia="Cambria"/>
        </w:rPr>
        <w:t>social media</w:t>
      </w:r>
      <w:r w:rsidRPr="00DA193A">
        <w:rPr>
          <w:rFonts w:eastAsia="Cambria"/>
        </w:rPr>
        <w:t xml:space="preserve"> service</w:t>
      </w:r>
      <w:r w:rsidR="00501A4F">
        <w:rPr>
          <w:rFonts w:eastAsia="Cambria"/>
        </w:rPr>
        <w:t xml:space="preserve"> or AI companion chatbot feature (as applicable)</w:t>
      </w:r>
      <w:r w:rsidRPr="00DA193A">
        <w:rPr>
          <w:rFonts w:eastAsia="Cambria"/>
        </w:rPr>
        <w:t>, the provider of the service must record in writing:</w:t>
      </w:r>
    </w:p>
    <w:p w14:paraId="5D02BCE7" w14:textId="77777777" w:rsidR="0021676F" w:rsidRPr="00DA193A" w:rsidRDefault="00FC159E" w:rsidP="0021676F">
      <w:pPr>
        <w:pStyle w:val="Heading4"/>
        <w:rPr>
          <w:rFonts w:eastAsia="Cambria"/>
        </w:rPr>
      </w:pPr>
      <w:r w:rsidRPr="00DA193A">
        <w:rPr>
          <w:rFonts w:eastAsia="Cambria"/>
        </w:rPr>
        <w:t>details of the determination; and</w:t>
      </w:r>
    </w:p>
    <w:p w14:paraId="4D15CA0D" w14:textId="77777777" w:rsidR="0021676F" w:rsidRPr="00DA193A" w:rsidRDefault="00FC159E" w:rsidP="0021676F">
      <w:pPr>
        <w:pStyle w:val="Heading4"/>
        <w:rPr>
          <w:rFonts w:eastAsia="Cambria"/>
        </w:rPr>
      </w:pPr>
      <w:r w:rsidRPr="00DA193A">
        <w:rPr>
          <w:rFonts w:eastAsia="Cambria"/>
        </w:rPr>
        <w:t>details of the conduct of any related risk assessment,</w:t>
      </w:r>
    </w:p>
    <w:p w14:paraId="57F53049" w14:textId="77777777" w:rsidR="005D2E14" w:rsidRPr="00DA193A" w:rsidRDefault="00FC159E" w:rsidP="0021676F">
      <w:pPr>
        <w:pStyle w:val="Heading3"/>
        <w:numPr>
          <w:ilvl w:val="0"/>
          <w:numId w:val="0"/>
        </w:numPr>
        <w:ind w:left="1474"/>
        <w:rPr>
          <w:lang w:val="en-GB"/>
        </w:rPr>
      </w:pPr>
      <w:r w:rsidRPr="00DA193A">
        <w:rPr>
          <w:rFonts w:eastAsia="Cambria"/>
        </w:rPr>
        <w:t>sufficient to demonstrate that they were made or carried out in accordance with this Code. The record must include the reasons for the results of the assessment and the determination</w:t>
      </w:r>
      <w:r w:rsidR="0008276D" w:rsidRPr="00DA193A">
        <w:rPr>
          <w:rFonts w:eastAsia="Cambria"/>
        </w:rPr>
        <w:t>.</w:t>
      </w:r>
    </w:p>
    <w:p w14:paraId="744A3902" w14:textId="77777777" w:rsidR="00E1104E" w:rsidRPr="00DA193A" w:rsidRDefault="00FC159E" w:rsidP="00E1104E">
      <w:pPr>
        <w:pStyle w:val="Heading4"/>
        <w:numPr>
          <w:ilvl w:val="0"/>
          <w:numId w:val="0"/>
        </w:numPr>
        <w:ind w:left="720"/>
        <w:rPr>
          <w:lang w:val="en-GB"/>
        </w:rPr>
      </w:pPr>
      <w:r w:rsidRPr="00DA193A">
        <w:rPr>
          <w:bCs/>
          <w:lang w:val="en-GB"/>
        </w:rPr>
        <w:t xml:space="preserve">The service provider may carry out a single risk assessment covering </w:t>
      </w:r>
      <w:r w:rsidR="00501A4F">
        <w:rPr>
          <w:bCs/>
          <w:lang w:val="en-GB"/>
        </w:rPr>
        <w:t xml:space="preserve">each relevant category of material </w:t>
      </w:r>
      <w:r w:rsidRPr="00DA193A">
        <w:rPr>
          <w:bCs/>
          <w:lang w:val="en-GB"/>
        </w:rPr>
        <w:t>at once, provided that a separate risk profile is assessed for each category.</w:t>
      </w:r>
    </w:p>
    <w:p w14:paraId="5E79EF6C" w14:textId="77777777" w:rsidR="005D2E14" w:rsidRPr="00DA193A" w:rsidRDefault="00FC159E">
      <w:pPr>
        <w:pStyle w:val="Heading2"/>
        <w:rPr>
          <w:rFonts w:eastAsia="Cambria"/>
        </w:rPr>
      </w:pPr>
      <w:bookmarkStart w:id="19" w:name="_Ref119595451"/>
      <w:r w:rsidRPr="00DA193A">
        <w:rPr>
          <w:rFonts w:eastAsia="Cambria"/>
        </w:rPr>
        <w:t xml:space="preserve">Certain categories of </w:t>
      </w:r>
      <w:r w:rsidR="00B40178" w:rsidRPr="00DA193A">
        <w:rPr>
          <w:rFonts w:eastAsia="Cambria"/>
        </w:rPr>
        <w:t>social media service</w:t>
      </w:r>
      <w:r w:rsidRPr="00DA193A">
        <w:rPr>
          <w:lang w:val="en-GB"/>
        </w:rPr>
        <w:t xml:space="preserve"> </w:t>
      </w:r>
      <w:r w:rsidRPr="00DA193A">
        <w:rPr>
          <w:rFonts w:eastAsia="Cambria"/>
        </w:rPr>
        <w:t>are not required to undertake a risk assessment</w:t>
      </w:r>
      <w:bookmarkEnd w:id="19"/>
      <w:r w:rsidRPr="00DA193A">
        <w:rPr>
          <w:rFonts w:eastAsia="Cambria"/>
        </w:rPr>
        <w:t xml:space="preserve"> </w:t>
      </w:r>
    </w:p>
    <w:p w14:paraId="06E2D914" w14:textId="77777777" w:rsidR="005D2E14" w:rsidRPr="00DA193A" w:rsidRDefault="00FC159E">
      <w:pPr>
        <w:pStyle w:val="Heading3"/>
        <w:numPr>
          <w:ilvl w:val="0"/>
          <w:numId w:val="0"/>
        </w:numPr>
        <w:ind w:left="737"/>
        <w:rPr>
          <w:lang w:val="en-GB"/>
        </w:rPr>
      </w:pPr>
      <w:bookmarkStart w:id="20" w:name="_Ref102993871"/>
      <w:bookmarkStart w:id="21" w:name="_Ref172553920"/>
      <w:r w:rsidRPr="00DA193A">
        <w:rPr>
          <w:rFonts w:eastAsia="Cambria"/>
        </w:rPr>
        <w:t xml:space="preserve">A provider of a </w:t>
      </w:r>
      <w:r w:rsidR="00B40178" w:rsidRPr="00DA193A">
        <w:rPr>
          <w:rFonts w:eastAsia="Cambria"/>
        </w:rPr>
        <w:t xml:space="preserve">social media service </w:t>
      </w:r>
      <w:r w:rsidRPr="00DA193A">
        <w:rPr>
          <w:rFonts w:eastAsia="Cambria"/>
        </w:rPr>
        <w:t xml:space="preserve">that meets the following requirements is deemed to have a Tier 3 risk profile under </w:t>
      </w:r>
      <w:r w:rsidR="00B40178" w:rsidRPr="00DA193A">
        <w:rPr>
          <w:rFonts w:eastAsia="Cambria"/>
        </w:rPr>
        <w:t xml:space="preserve">this </w:t>
      </w:r>
      <w:r w:rsidRPr="00DA193A">
        <w:rPr>
          <w:rFonts w:eastAsia="Cambria"/>
        </w:rPr>
        <w:t xml:space="preserve">Code </w:t>
      </w:r>
      <w:r w:rsidR="00B40178" w:rsidRPr="00DA193A">
        <w:rPr>
          <w:rFonts w:eastAsia="Cambria"/>
        </w:rPr>
        <w:t xml:space="preserve">for </w:t>
      </w:r>
      <w:r w:rsidR="000F68B2" w:rsidRPr="00DA193A">
        <w:rPr>
          <w:lang w:val="en-GB"/>
        </w:rPr>
        <w:t>online pornography, self-harm material and high-impact violence materia</w:t>
      </w:r>
      <w:r w:rsidR="00B205CA" w:rsidRPr="00DA193A">
        <w:rPr>
          <w:lang w:val="en-GB"/>
        </w:rPr>
        <w:t>l</w:t>
      </w:r>
      <w:r w:rsidR="00B40178" w:rsidRPr="00DA193A">
        <w:rPr>
          <w:rFonts w:eastAsia="Cambria"/>
        </w:rPr>
        <w:t xml:space="preserve"> </w:t>
      </w:r>
      <w:r w:rsidRPr="00DA193A">
        <w:rPr>
          <w:rFonts w:eastAsia="Cambria"/>
        </w:rPr>
        <w:t>without any further risk assessment being required:</w:t>
      </w:r>
      <w:bookmarkStart w:id="22" w:name="_Ref119595439"/>
      <w:r w:rsidRPr="00DA193A">
        <w:rPr>
          <w:rFonts w:eastAsia="Cambria"/>
        </w:rPr>
        <w:t xml:space="preserve"> </w:t>
      </w:r>
      <w:bookmarkEnd w:id="20"/>
      <w:bookmarkEnd w:id="21"/>
      <w:bookmarkEnd w:id="22"/>
    </w:p>
    <w:p w14:paraId="47AE9BBF" w14:textId="77777777" w:rsidR="005D2E14" w:rsidRPr="00DA193A" w:rsidRDefault="00FC159E">
      <w:pPr>
        <w:pStyle w:val="Heading3"/>
        <w:rPr>
          <w:lang w:val="en-GB"/>
        </w:rPr>
      </w:pPr>
      <w:r w:rsidRPr="00DA193A">
        <w:rPr>
          <w:lang w:val="en-GB"/>
        </w:rPr>
        <w:t xml:space="preserve">a </w:t>
      </w:r>
      <w:r w:rsidR="00B40178" w:rsidRPr="00DA193A">
        <w:rPr>
          <w:lang w:val="en-GB"/>
        </w:rPr>
        <w:t xml:space="preserve">social media service </w:t>
      </w:r>
      <w:r w:rsidRPr="00DA193A">
        <w:rPr>
          <w:lang w:val="en-GB"/>
        </w:rPr>
        <w:t>with the purpose of enabling social interaction within a commercial or public enterprise that is limited to employees and or customers of the enterprise for the enterprise’s stated purpose; and</w:t>
      </w:r>
    </w:p>
    <w:p w14:paraId="1099D32B" w14:textId="77777777" w:rsidR="005D2E14" w:rsidRPr="00DA193A" w:rsidRDefault="00FC159E" w:rsidP="00F97AB0">
      <w:pPr>
        <w:pStyle w:val="Heading3"/>
        <w:keepNext/>
        <w:rPr>
          <w:lang w:val="en-GB"/>
        </w:rPr>
      </w:pPr>
      <w:r w:rsidRPr="00DA193A">
        <w:rPr>
          <w:lang w:val="en-GB"/>
        </w:rPr>
        <w:t xml:space="preserve">a </w:t>
      </w:r>
      <w:r w:rsidR="00B40178" w:rsidRPr="00DA193A">
        <w:rPr>
          <w:lang w:val="en-GB"/>
        </w:rPr>
        <w:t>social media service</w:t>
      </w:r>
      <w:r w:rsidRPr="00DA193A">
        <w:rPr>
          <w:lang w:val="en-GB"/>
        </w:rPr>
        <w:t xml:space="preserve"> that does not enable Australian end-users to do any of the following:</w:t>
      </w:r>
    </w:p>
    <w:p w14:paraId="7846D7DC" w14:textId="77777777" w:rsidR="005D2E14" w:rsidRPr="00DA193A" w:rsidRDefault="00FC159E">
      <w:pPr>
        <w:pStyle w:val="Heading4"/>
        <w:rPr>
          <w:lang w:val="en-GB"/>
        </w:rPr>
      </w:pPr>
      <w:r w:rsidRPr="00DA193A">
        <w:rPr>
          <w:lang w:val="en-GB"/>
        </w:rPr>
        <w:t>create a list of other end-users with whom an individual shares a connection within the system; or</w:t>
      </w:r>
    </w:p>
    <w:p w14:paraId="50D3F873" w14:textId="77777777" w:rsidR="005D2E14" w:rsidRPr="00DA193A" w:rsidRDefault="00FC159E">
      <w:pPr>
        <w:pStyle w:val="Heading4"/>
        <w:rPr>
          <w:lang w:val="en-GB"/>
        </w:rPr>
      </w:pPr>
      <w:r w:rsidRPr="00DA193A">
        <w:rPr>
          <w:lang w:val="en-GB"/>
        </w:rPr>
        <w:t>view and navigate a list of other end-user’s individual connections; or</w:t>
      </w:r>
    </w:p>
    <w:p w14:paraId="6EEF3269" w14:textId="77777777" w:rsidR="005D2E14" w:rsidRPr="00DA193A" w:rsidRDefault="00FC159E">
      <w:pPr>
        <w:pStyle w:val="Heading4"/>
        <w:rPr>
          <w:lang w:val="en-GB"/>
        </w:rPr>
      </w:pPr>
      <w:r w:rsidRPr="00DA193A">
        <w:rPr>
          <w:lang w:val="en-GB"/>
        </w:rPr>
        <w:t>construct a public or semi-public profile within a bounded system created by the service.</w:t>
      </w:r>
    </w:p>
    <w:p w14:paraId="696DCFCB" w14:textId="77777777" w:rsidR="005D2E14" w:rsidRPr="00DA193A" w:rsidRDefault="00FC159E">
      <w:pPr>
        <w:pStyle w:val="Heading2"/>
        <w:rPr>
          <w:rFonts w:eastAsia="Cambria"/>
        </w:rPr>
      </w:pPr>
      <w:r w:rsidRPr="00DA193A">
        <w:rPr>
          <w:rFonts w:eastAsia="Cambria"/>
        </w:rPr>
        <w:t xml:space="preserve">Changes to risk profile of a </w:t>
      </w:r>
      <w:r w:rsidR="00B40178" w:rsidRPr="00DA193A">
        <w:rPr>
          <w:rFonts w:eastAsia="Cambria"/>
        </w:rPr>
        <w:t>social media service</w:t>
      </w:r>
      <w:r w:rsidRPr="00DA193A">
        <w:rPr>
          <w:lang w:val="en-GB"/>
        </w:rPr>
        <w:t xml:space="preserve"> </w:t>
      </w:r>
    </w:p>
    <w:p w14:paraId="34C97D15" w14:textId="77777777" w:rsidR="005D2E14" w:rsidRPr="00DA193A" w:rsidRDefault="00FC159E" w:rsidP="001D0863">
      <w:pPr>
        <w:pStyle w:val="SchedH3"/>
        <w:keepNext/>
        <w:numPr>
          <w:ilvl w:val="0"/>
          <w:numId w:val="0"/>
        </w:numPr>
        <w:ind w:left="709"/>
        <w:rPr>
          <w:rFonts w:eastAsia="Cambria"/>
        </w:rPr>
      </w:pPr>
      <w:r w:rsidRPr="00DA193A">
        <w:rPr>
          <w:rFonts w:eastAsia="Cambria"/>
        </w:rPr>
        <w:t xml:space="preserve">If a provider of a </w:t>
      </w:r>
      <w:r w:rsidR="00B40178" w:rsidRPr="00DA193A">
        <w:rPr>
          <w:rFonts w:eastAsia="Cambria"/>
        </w:rPr>
        <w:t>social media service</w:t>
      </w:r>
      <w:r w:rsidRPr="00DA193A">
        <w:rPr>
          <w:rFonts w:eastAsia="Cambria"/>
        </w:rPr>
        <w:t>:</w:t>
      </w:r>
    </w:p>
    <w:p w14:paraId="30D05C68" w14:textId="77777777" w:rsidR="005D2E14" w:rsidRPr="00DA193A" w:rsidRDefault="00FC159E" w:rsidP="00943F71">
      <w:pPr>
        <w:pStyle w:val="Heading3"/>
        <w:rPr>
          <w:rFonts w:eastAsia="Cambria"/>
        </w:rPr>
      </w:pPr>
      <w:r w:rsidRPr="00DA193A">
        <w:rPr>
          <w:rFonts w:eastAsia="Cambria"/>
        </w:rPr>
        <w:t xml:space="preserve">makes a change to the </w:t>
      </w:r>
      <w:r w:rsidR="00B40178" w:rsidRPr="00DA193A">
        <w:rPr>
          <w:rFonts w:eastAsia="Cambria"/>
        </w:rPr>
        <w:t xml:space="preserve">service </w:t>
      </w:r>
      <w:r w:rsidRPr="00DA193A">
        <w:rPr>
          <w:rFonts w:eastAsia="Cambria"/>
        </w:rPr>
        <w:t xml:space="preserve">such that it would no longer </w:t>
      </w:r>
      <w:r w:rsidR="00943F71" w:rsidRPr="00DA193A">
        <w:rPr>
          <w:rFonts w:eastAsia="Cambria"/>
        </w:rPr>
        <w:t>be exempt from carrying out a risk assessment</w:t>
      </w:r>
      <w:r w:rsidRPr="00DA193A">
        <w:rPr>
          <w:rFonts w:eastAsia="Cambria"/>
        </w:rPr>
        <w:t xml:space="preserve"> under clause </w:t>
      </w:r>
      <w:r w:rsidR="00A34553">
        <w:rPr>
          <w:rFonts w:eastAsia="Cambria"/>
        </w:rPr>
        <w:fldChar w:fldCharType="begin"/>
      </w:r>
      <w:r w:rsidR="00A34553">
        <w:rPr>
          <w:rFonts w:eastAsia="Cambria"/>
        </w:rPr>
        <w:instrText xml:space="preserve"> REF _Ref201330062 \w \h </w:instrText>
      </w:r>
      <w:r w:rsidR="00A34553">
        <w:rPr>
          <w:rFonts w:eastAsia="Cambria"/>
        </w:rPr>
      </w:r>
      <w:r w:rsidR="00A34553">
        <w:rPr>
          <w:rFonts w:eastAsia="Cambria"/>
        </w:rPr>
        <w:fldChar w:fldCharType="separate"/>
      </w:r>
      <w:r w:rsidR="006E374E">
        <w:rPr>
          <w:rFonts w:eastAsia="Cambria"/>
        </w:rPr>
        <w:t>4.1</w:t>
      </w:r>
      <w:r w:rsidR="00A34553">
        <w:rPr>
          <w:rFonts w:eastAsia="Cambria"/>
        </w:rPr>
        <w:fldChar w:fldCharType="end"/>
      </w:r>
      <w:r w:rsidR="00A34553">
        <w:rPr>
          <w:rFonts w:eastAsia="Cambria"/>
        </w:rPr>
        <w:t xml:space="preserve"> and / or </w:t>
      </w:r>
      <w:r w:rsidR="00A34553">
        <w:rPr>
          <w:rFonts w:eastAsia="Cambria"/>
        </w:rPr>
        <w:fldChar w:fldCharType="begin"/>
      </w:r>
      <w:r w:rsidR="00A34553">
        <w:rPr>
          <w:rFonts w:eastAsia="Cambria"/>
        </w:rPr>
        <w:instrText xml:space="preserve"> REF _Ref201330064 \w \h </w:instrText>
      </w:r>
      <w:r w:rsidR="00A34553">
        <w:rPr>
          <w:rFonts w:eastAsia="Cambria"/>
        </w:rPr>
      </w:r>
      <w:r w:rsidR="00A34553">
        <w:rPr>
          <w:rFonts w:eastAsia="Cambria"/>
        </w:rPr>
        <w:fldChar w:fldCharType="separate"/>
      </w:r>
      <w:r w:rsidR="006E374E">
        <w:rPr>
          <w:rFonts w:eastAsia="Cambria"/>
        </w:rPr>
        <w:t>4.2</w:t>
      </w:r>
      <w:r w:rsidR="00A34553">
        <w:rPr>
          <w:rFonts w:eastAsia="Cambria"/>
        </w:rPr>
        <w:fldChar w:fldCharType="end"/>
      </w:r>
      <w:r w:rsidR="00A34553">
        <w:rPr>
          <w:rFonts w:eastAsia="Cambria"/>
        </w:rPr>
        <w:t xml:space="preserve"> (as applicable)</w:t>
      </w:r>
      <w:r w:rsidRPr="00DA193A">
        <w:rPr>
          <w:rFonts w:eastAsia="Cambria"/>
        </w:rPr>
        <w:t xml:space="preserve">; </w:t>
      </w:r>
      <w:r w:rsidR="00AE4F85" w:rsidRPr="00DA193A">
        <w:rPr>
          <w:rFonts w:eastAsia="Cambria"/>
        </w:rPr>
        <w:t>or</w:t>
      </w:r>
    </w:p>
    <w:p w14:paraId="4475CA16" w14:textId="77777777" w:rsidR="005D2E14" w:rsidRPr="00DA193A" w:rsidRDefault="00FC159E" w:rsidP="00943F71">
      <w:pPr>
        <w:pStyle w:val="Heading3"/>
        <w:rPr>
          <w:rFonts w:eastAsia="Cambria"/>
        </w:rPr>
      </w:pPr>
      <w:r w:rsidRPr="00DA193A">
        <w:rPr>
          <w:rFonts w:eastAsia="Cambria"/>
        </w:rPr>
        <w:t xml:space="preserve">has previously carried out a risk assessment, but makes a </w:t>
      </w:r>
      <w:r w:rsidR="0008276D" w:rsidRPr="00DA193A">
        <w:rPr>
          <w:rFonts w:eastAsia="Cambria"/>
        </w:rPr>
        <w:t xml:space="preserve">change to </w:t>
      </w:r>
      <w:r w:rsidRPr="00DA193A">
        <w:rPr>
          <w:rFonts w:eastAsia="Cambria"/>
        </w:rPr>
        <w:t>its</w:t>
      </w:r>
      <w:r w:rsidR="0008276D" w:rsidRPr="00DA193A">
        <w:rPr>
          <w:rFonts w:eastAsia="Cambria"/>
        </w:rPr>
        <w:t xml:space="preserve"> </w:t>
      </w:r>
      <w:r w:rsidR="00B40178" w:rsidRPr="00DA193A">
        <w:rPr>
          <w:rFonts w:eastAsia="Cambria"/>
        </w:rPr>
        <w:t xml:space="preserve">service </w:t>
      </w:r>
      <w:r w:rsidR="0008276D" w:rsidRPr="00DA193A">
        <w:rPr>
          <w:rFonts w:eastAsia="Cambria"/>
        </w:rPr>
        <w:t xml:space="preserve">that would result in the service falling within a higher risk tier, </w:t>
      </w:r>
    </w:p>
    <w:p w14:paraId="75D692B1" w14:textId="77777777" w:rsidR="005D2E14" w:rsidRPr="00DA193A" w:rsidRDefault="00FC159E">
      <w:pPr>
        <w:pStyle w:val="Indent2"/>
        <w:rPr>
          <w:rFonts w:eastAsia="Cambria"/>
        </w:rPr>
      </w:pPr>
      <w:r w:rsidRPr="00DA193A">
        <w:rPr>
          <w:rFonts w:eastAsia="Cambria"/>
        </w:rPr>
        <w:t xml:space="preserve">it must carry out </w:t>
      </w:r>
      <w:r w:rsidR="00943F71" w:rsidRPr="00DA193A">
        <w:rPr>
          <w:rFonts w:eastAsia="Cambria"/>
        </w:rPr>
        <w:t>a</w:t>
      </w:r>
      <w:r w:rsidRPr="00DA193A">
        <w:rPr>
          <w:rFonts w:eastAsia="Cambria"/>
        </w:rPr>
        <w:t xml:space="preserve"> risk assessment in accordance with clause </w:t>
      </w:r>
      <w:r w:rsidR="00AE5AE3">
        <w:rPr>
          <w:rFonts w:eastAsia="Cambria"/>
        </w:rPr>
        <w:fldChar w:fldCharType="begin"/>
      </w:r>
      <w:r w:rsidR="00AE5AE3">
        <w:rPr>
          <w:rFonts w:eastAsia="Cambria"/>
        </w:rPr>
        <w:instrText xml:space="preserve"> REF _Ref201330062 \w \h </w:instrText>
      </w:r>
      <w:r w:rsidR="00AE5AE3">
        <w:rPr>
          <w:rFonts w:eastAsia="Cambria"/>
        </w:rPr>
      </w:r>
      <w:r w:rsidR="00AE5AE3">
        <w:rPr>
          <w:rFonts w:eastAsia="Cambria"/>
        </w:rPr>
        <w:fldChar w:fldCharType="separate"/>
      </w:r>
      <w:r w:rsidR="006E374E">
        <w:rPr>
          <w:rFonts w:eastAsia="Cambria"/>
        </w:rPr>
        <w:t>4.1</w:t>
      </w:r>
      <w:r w:rsidR="00AE5AE3">
        <w:rPr>
          <w:rFonts w:eastAsia="Cambria"/>
        </w:rPr>
        <w:fldChar w:fldCharType="end"/>
      </w:r>
      <w:r w:rsidR="00AE5AE3">
        <w:rPr>
          <w:rFonts w:eastAsia="Cambria"/>
        </w:rPr>
        <w:t xml:space="preserve"> and / or </w:t>
      </w:r>
      <w:r w:rsidR="00AE5AE3">
        <w:rPr>
          <w:rFonts w:eastAsia="Cambria"/>
        </w:rPr>
        <w:fldChar w:fldCharType="begin"/>
      </w:r>
      <w:r w:rsidR="00AE5AE3">
        <w:rPr>
          <w:rFonts w:eastAsia="Cambria"/>
        </w:rPr>
        <w:instrText xml:space="preserve"> REF _Ref201330064 \w \h </w:instrText>
      </w:r>
      <w:r w:rsidR="00AE5AE3">
        <w:rPr>
          <w:rFonts w:eastAsia="Cambria"/>
        </w:rPr>
      </w:r>
      <w:r w:rsidR="00AE5AE3">
        <w:rPr>
          <w:rFonts w:eastAsia="Cambria"/>
        </w:rPr>
        <w:fldChar w:fldCharType="separate"/>
      </w:r>
      <w:r w:rsidR="006E374E">
        <w:rPr>
          <w:rFonts w:eastAsia="Cambria"/>
        </w:rPr>
        <w:t>4.2</w:t>
      </w:r>
      <w:r w:rsidR="00AE5AE3">
        <w:rPr>
          <w:rFonts w:eastAsia="Cambria"/>
        </w:rPr>
        <w:fldChar w:fldCharType="end"/>
      </w:r>
      <w:r w:rsidR="00AE5AE3">
        <w:rPr>
          <w:rFonts w:eastAsia="Cambria"/>
        </w:rPr>
        <w:t xml:space="preserve"> (as applicable)</w:t>
      </w:r>
      <w:r w:rsidR="00943F71" w:rsidRPr="00DA193A">
        <w:rPr>
          <w:rFonts w:eastAsia="Cambria"/>
        </w:rPr>
        <w:t xml:space="preserve"> </w:t>
      </w:r>
      <w:r w:rsidR="009A0C32" w:rsidRPr="00DA193A">
        <w:t>as soon as practicable and in any case no later than 6 months after the relevant change takes effect</w:t>
      </w:r>
      <w:r w:rsidRPr="00DA193A">
        <w:rPr>
          <w:rFonts w:eastAsia="Cambria"/>
        </w:rPr>
        <w:t>.</w:t>
      </w:r>
    </w:p>
    <w:p w14:paraId="43C6954C" w14:textId="77777777" w:rsidR="005D2E14" w:rsidRPr="00DA193A" w:rsidRDefault="00FC159E">
      <w:pPr>
        <w:pStyle w:val="Heading1"/>
        <w:rPr>
          <w:lang w:val="en-GB"/>
        </w:rPr>
      </w:pPr>
      <w:bookmarkStart w:id="23" w:name="_Ref102993975"/>
      <w:bookmarkStart w:id="24" w:name="_Ref171676702"/>
      <w:r w:rsidRPr="00DA193A">
        <w:rPr>
          <w:lang w:val="en-GB"/>
        </w:rPr>
        <w:t>Risk assessment</w:t>
      </w:r>
      <w:bookmarkEnd w:id="23"/>
      <w:r w:rsidRPr="00DA193A">
        <w:rPr>
          <w:lang w:val="en-GB"/>
        </w:rPr>
        <w:t xml:space="preserve">: requirements </w:t>
      </w:r>
      <w:bookmarkEnd w:id="24"/>
    </w:p>
    <w:p w14:paraId="345A6E56" w14:textId="77777777" w:rsidR="005D2E14" w:rsidRPr="00DA193A" w:rsidRDefault="00FC159E">
      <w:pPr>
        <w:pStyle w:val="Heading3"/>
        <w:rPr>
          <w:rFonts w:eastAsia="Cambria"/>
        </w:rPr>
      </w:pPr>
      <w:r w:rsidRPr="00DA193A">
        <w:rPr>
          <w:rFonts w:eastAsia="Cambria"/>
        </w:rPr>
        <w:t>This clause </w:t>
      </w:r>
      <w:r w:rsidRPr="00DA193A">
        <w:rPr>
          <w:rFonts w:eastAsia="Cambria"/>
        </w:rPr>
        <w:fldChar w:fldCharType="begin"/>
      </w:r>
      <w:r w:rsidRPr="00DA193A">
        <w:rPr>
          <w:rFonts w:eastAsia="Cambria"/>
        </w:rPr>
        <w:instrText xml:space="preserve"> REF _Ref102993975 \w \h  \* MERGEFORMAT </w:instrText>
      </w:r>
      <w:r w:rsidRPr="00DA193A">
        <w:rPr>
          <w:rFonts w:eastAsia="Cambria"/>
        </w:rPr>
      </w:r>
      <w:r w:rsidRPr="00DA193A">
        <w:rPr>
          <w:rFonts w:eastAsia="Cambria"/>
        </w:rPr>
        <w:fldChar w:fldCharType="separate"/>
      </w:r>
      <w:r w:rsidR="006E374E">
        <w:rPr>
          <w:rFonts w:eastAsia="Cambria"/>
        </w:rPr>
        <w:t>5</w:t>
      </w:r>
      <w:r w:rsidRPr="00DA193A">
        <w:rPr>
          <w:rFonts w:eastAsia="Cambria"/>
        </w:rPr>
        <w:fldChar w:fldCharType="end"/>
      </w:r>
      <w:r w:rsidRPr="00DA193A">
        <w:rPr>
          <w:rFonts w:eastAsia="Cambria"/>
        </w:rPr>
        <w:t xml:space="preserve"> applies where a provider of a </w:t>
      </w:r>
      <w:r w:rsidR="00D07F15" w:rsidRPr="00DA193A">
        <w:rPr>
          <w:rFonts w:eastAsia="Cambria"/>
        </w:rPr>
        <w:t>social media service</w:t>
      </w:r>
      <w:r w:rsidRPr="00DA193A">
        <w:rPr>
          <w:rFonts w:eastAsia="Cambria"/>
        </w:rPr>
        <w:t xml:space="preserve"> is required to undertake a risk assessment under </w:t>
      </w:r>
      <w:r w:rsidR="009603D1" w:rsidRPr="00DA193A">
        <w:rPr>
          <w:rFonts w:eastAsia="Cambria"/>
        </w:rPr>
        <w:t xml:space="preserve">in accordance with clause </w:t>
      </w:r>
      <w:r w:rsidR="009603D1">
        <w:rPr>
          <w:rFonts w:eastAsia="Cambria"/>
        </w:rPr>
        <w:fldChar w:fldCharType="begin"/>
      </w:r>
      <w:r w:rsidR="009603D1">
        <w:rPr>
          <w:rFonts w:eastAsia="Cambria"/>
        </w:rPr>
        <w:instrText xml:space="preserve"> REF _Ref201330062 \w \h </w:instrText>
      </w:r>
      <w:r w:rsidR="009603D1">
        <w:rPr>
          <w:rFonts w:eastAsia="Cambria"/>
        </w:rPr>
      </w:r>
      <w:r w:rsidR="009603D1">
        <w:rPr>
          <w:rFonts w:eastAsia="Cambria"/>
        </w:rPr>
        <w:fldChar w:fldCharType="separate"/>
      </w:r>
      <w:r w:rsidR="006E374E">
        <w:rPr>
          <w:rFonts w:eastAsia="Cambria"/>
        </w:rPr>
        <w:t>4.1</w:t>
      </w:r>
      <w:r w:rsidR="009603D1">
        <w:rPr>
          <w:rFonts w:eastAsia="Cambria"/>
        </w:rPr>
        <w:fldChar w:fldCharType="end"/>
      </w:r>
      <w:r w:rsidR="009603D1">
        <w:rPr>
          <w:rFonts w:eastAsia="Cambria"/>
        </w:rPr>
        <w:t xml:space="preserve"> and / or </w:t>
      </w:r>
      <w:r w:rsidR="009603D1">
        <w:rPr>
          <w:rFonts w:eastAsia="Cambria"/>
        </w:rPr>
        <w:fldChar w:fldCharType="begin"/>
      </w:r>
      <w:r w:rsidR="009603D1">
        <w:rPr>
          <w:rFonts w:eastAsia="Cambria"/>
        </w:rPr>
        <w:instrText xml:space="preserve"> REF _Ref201330064 \w \h </w:instrText>
      </w:r>
      <w:r w:rsidR="009603D1">
        <w:rPr>
          <w:rFonts w:eastAsia="Cambria"/>
        </w:rPr>
      </w:r>
      <w:r w:rsidR="009603D1">
        <w:rPr>
          <w:rFonts w:eastAsia="Cambria"/>
        </w:rPr>
        <w:fldChar w:fldCharType="separate"/>
      </w:r>
      <w:r w:rsidR="006E374E">
        <w:rPr>
          <w:rFonts w:eastAsia="Cambria"/>
        </w:rPr>
        <w:t>4.2</w:t>
      </w:r>
      <w:r w:rsidR="009603D1">
        <w:rPr>
          <w:rFonts w:eastAsia="Cambria"/>
        </w:rPr>
        <w:fldChar w:fldCharType="end"/>
      </w:r>
      <w:r w:rsidR="009603D1">
        <w:rPr>
          <w:rFonts w:eastAsia="Cambria"/>
        </w:rPr>
        <w:t xml:space="preserve"> (as applicable)</w:t>
      </w:r>
      <w:r w:rsidRPr="00DA193A">
        <w:rPr>
          <w:rFonts w:eastAsia="Cambria"/>
        </w:rPr>
        <w:t>.</w:t>
      </w:r>
    </w:p>
    <w:p w14:paraId="0C479809" w14:textId="77777777" w:rsidR="005D2E14" w:rsidRPr="00DA193A" w:rsidRDefault="00FC159E">
      <w:pPr>
        <w:pStyle w:val="Heading3"/>
        <w:rPr>
          <w:lang w:val="en-GB"/>
        </w:rPr>
      </w:pPr>
      <w:bookmarkStart w:id="25" w:name="_heading=h.j8j8s7732xo4"/>
      <w:bookmarkStart w:id="26" w:name="_Ref171612019"/>
      <w:bookmarkEnd w:id="25"/>
      <w:r w:rsidRPr="00DA193A">
        <w:rPr>
          <w:lang w:val="en-GB"/>
        </w:rPr>
        <w:t xml:space="preserve">A provider of a </w:t>
      </w:r>
      <w:r w:rsidR="00D07F15" w:rsidRPr="00DA193A">
        <w:rPr>
          <w:lang w:val="en-GB"/>
        </w:rPr>
        <w:t>social media service</w:t>
      </w:r>
      <w:r w:rsidRPr="00DA193A">
        <w:rPr>
          <w:lang w:val="en-GB"/>
        </w:rPr>
        <w:t xml:space="preserve"> </w:t>
      </w:r>
      <w:r w:rsidRPr="00DA193A">
        <w:rPr>
          <w:rFonts w:eastAsia="Cambria"/>
        </w:rPr>
        <w:t>must take into account the following matters when undertaking a risk assessment of</w:t>
      </w:r>
      <w:r w:rsidR="00BE5C13">
        <w:rPr>
          <w:rFonts w:eastAsia="Cambria"/>
        </w:rPr>
        <w:t xml:space="preserve"> an AI companion chatbot feature of the service in accordance with clause </w:t>
      </w:r>
      <w:r w:rsidR="00BE5C13">
        <w:rPr>
          <w:rFonts w:eastAsia="Cambria"/>
        </w:rPr>
        <w:fldChar w:fldCharType="begin"/>
      </w:r>
      <w:r w:rsidR="00BE5C13">
        <w:rPr>
          <w:rFonts w:eastAsia="Cambria"/>
        </w:rPr>
        <w:instrText xml:space="preserve"> REF _Ref201330062 \w \h </w:instrText>
      </w:r>
      <w:r w:rsidR="00BE5C13">
        <w:rPr>
          <w:rFonts w:eastAsia="Cambria"/>
        </w:rPr>
      </w:r>
      <w:r w:rsidR="00BE5C13">
        <w:rPr>
          <w:rFonts w:eastAsia="Cambria"/>
        </w:rPr>
        <w:fldChar w:fldCharType="separate"/>
      </w:r>
      <w:r w:rsidR="006E374E">
        <w:rPr>
          <w:rFonts w:eastAsia="Cambria"/>
        </w:rPr>
        <w:t>4.1</w:t>
      </w:r>
      <w:r w:rsidR="00BE5C13">
        <w:rPr>
          <w:rFonts w:eastAsia="Cambria"/>
        </w:rPr>
        <w:fldChar w:fldCharType="end"/>
      </w:r>
      <w:r w:rsidR="00BE5C13">
        <w:rPr>
          <w:rFonts w:eastAsia="Cambria"/>
        </w:rPr>
        <w:t xml:space="preserve"> or the other features of the</w:t>
      </w:r>
      <w:r w:rsidRPr="00DA193A">
        <w:rPr>
          <w:rFonts w:eastAsia="Cambria"/>
        </w:rPr>
        <w:t xml:space="preserve"> service</w:t>
      </w:r>
      <w:r w:rsidR="00637853">
        <w:rPr>
          <w:rFonts w:eastAsia="Cambria"/>
        </w:rPr>
        <w:t xml:space="preserve"> in accordance with clause</w:t>
      </w:r>
      <w:r w:rsidR="00BE5C13">
        <w:rPr>
          <w:rFonts w:eastAsia="Cambria"/>
        </w:rPr>
        <w:t> </w:t>
      </w:r>
      <w:r w:rsidR="00637853">
        <w:rPr>
          <w:rFonts w:eastAsia="Cambria"/>
        </w:rPr>
        <w:fldChar w:fldCharType="begin"/>
      </w:r>
      <w:r w:rsidR="00637853">
        <w:rPr>
          <w:rFonts w:eastAsia="Cambria"/>
        </w:rPr>
        <w:instrText xml:space="preserve"> REF _Ref201330064 \w \h </w:instrText>
      </w:r>
      <w:r w:rsidR="00637853">
        <w:rPr>
          <w:rFonts w:eastAsia="Cambria"/>
        </w:rPr>
      </w:r>
      <w:r w:rsidR="00637853">
        <w:rPr>
          <w:rFonts w:eastAsia="Cambria"/>
        </w:rPr>
        <w:fldChar w:fldCharType="separate"/>
      </w:r>
      <w:r w:rsidR="006E374E">
        <w:rPr>
          <w:rFonts w:eastAsia="Cambria"/>
        </w:rPr>
        <w:t>4.2</w:t>
      </w:r>
      <w:r w:rsidR="00637853">
        <w:rPr>
          <w:rFonts w:eastAsia="Cambria"/>
        </w:rPr>
        <w:fldChar w:fldCharType="end"/>
      </w:r>
      <w:r w:rsidR="00D52BC1" w:rsidRPr="00DA193A">
        <w:rPr>
          <w:rFonts w:eastAsia="Cambria"/>
        </w:rPr>
        <w:t>, so far as they are relevant to the service</w:t>
      </w:r>
      <w:r w:rsidRPr="00DA193A">
        <w:rPr>
          <w:lang w:val="en-GB"/>
        </w:rPr>
        <w:t>:</w:t>
      </w:r>
      <w:bookmarkEnd w:id="26"/>
    </w:p>
    <w:p w14:paraId="31A04CFD" w14:textId="77777777" w:rsidR="00BE5C13" w:rsidRDefault="00FC159E" w:rsidP="00BE5C13">
      <w:pPr>
        <w:pStyle w:val="Heading4"/>
      </w:pPr>
      <w:bookmarkStart w:id="27" w:name="_Ref102994038"/>
      <w:r>
        <w:t>in the case of an AI companion chatbot feature:</w:t>
      </w:r>
    </w:p>
    <w:p w14:paraId="6DB656D5" w14:textId="77777777" w:rsidR="00BE5C13" w:rsidRDefault="00FC159E" w:rsidP="00BE5C13">
      <w:pPr>
        <w:pStyle w:val="Heading5"/>
      </w:pPr>
      <w:r>
        <w:t>whether any generative AI restricted category of material is permitted on the feature and if so, the likely portion of that content as compared with other types of content;</w:t>
      </w:r>
      <w:bookmarkStart w:id="28" w:name="_heading=h.io4dgy9pl7uh" w:colFirst="0" w:colLast="0"/>
      <w:bookmarkEnd w:id="28"/>
    </w:p>
    <w:p w14:paraId="072E09D1" w14:textId="77777777" w:rsidR="00BE5C13" w:rsidRDefault="00FC159E" w:rsidP="00BE5C13">
      <w:pPr>
        <w:pStyle w:val="Heading5"/>
      </w:pPr>
      <w:r>
        <w:t>the likelihood that the feature may be used to directly expose Australian children to any generative AI restricted category of material;</w:t>
      </w:r>
      <w:bookmarkStart w:id="29" w:name="_heading=h.976k85no55jz" w:colFirst="0" w:colLast="0"/>
      <w:bookmarkEnd w:id="29"/>
    </w:p>
    <w:p w14:paraId="0C3B41B7" w14:textId="77777777" w:rsidR="00BE5C13" w:rsidRDefault="00FC159E" w:rsidP="00BE5C13">
      <w:pPr>
        <w:pStyle w:val="Heading5"/>
      </w:pPr>
      <w:r>
        <w:t>the likelihood that an Australian child will use the feature to access any generative AI restricted category of material;</w:t>
      </w:r>
      <w:bookmarkStart w:id="30" w:name="_heading=h.qz58oiqms7ue" w:colFirst="0" w:colLast="0"/>
      <w:bookmarkEnd w:id="30"/>
    </w:p>
    <w:p w14:paraId="5854B217" w14:textId="77777777" w:rsidR="00BE5C13" w:rsidRDefault="00FC159E" w:rsidP="00BE5C13">
      <w:pPr>
        <w:pStyle w:val="Heading4"/>
      </w:pPr>
      <w:r>
        <w:t>other than in the case of an AI companion chatbot feature:</w:t>
      </w:r>
      <w:bookmarkStart w:id="31" w:name="_heading=h.obmsaxvajtmn" w:colFirst="0" w:colLast="0"/>
      <w:bookmarkEnd w:id="31"/>
    </w:p>
    <w:p w14:paraId="4441076E" w14:textId="77777777" w:rsidR="00BE5C13" w:rsidRDefault="00FC159E" w:rsidP="00BE5C13">
      <w:pPr>
        <w:pStyle w:val="Heading5"/>
      </w:pPr>
      <w:r>
        <w:t>the terms or arrangements under which the provider acquires any content to be made available on the service;</w:t>
      </w:r>
      <w:bookmarkStart w:id="32" w:name="_heading=h.jr9icyetjzhp" w:colFirst="0" w:colLast="0"/>
      <w:bookmarkEnd w:id="32"/>
    </w:p>
    <w:p w14:paraId="0DC6D018" w14:textId="77777777" w:rsidR="00BE5C13" w:rsidRDefault="00FC159E" w:rsidP="00BE5C13">
      <w:pPr>
        <w:pStyle w:val="Heading5"/>
      </w:pPr>
      <w:r>
        <w:t>the likelihood that the service may be used to directly expose an Australian child to online pornography, self-harm material and high-impact violence material (as applicable);</w:t>
      </w:r>
      <w:bookmarkStart w:id="33" w:name="_heading=h.35nirhrg4ixr" w:colFirst="0" w:colLast="0"/>
      <w:bookmarkEnd w:id="33"/>
    </w:p>
    <w:p w14:paraId="1F29E6FD" w14:textId="77777777" w:rsidR="00BE5C13" w:rsidRDefault="00FC159E" w:rsidP="00BE5C13">
      <w:pPr>
        <w:pStyle w:val="Heading5"/>
      </w:pPr>
      <w:r>
        <w:t>the likelihood that an Australian child will use the service to access online pornography, self-harm material and high-impact violence material (as applicable);</w:t>
      </w:r>
      <w:bookmarkStart w:id="34" w:name="_heading=h.obfkereo2d7f" w:colFirst="0" w:colLast="0"/>
      <w:bookmarkEnd w:id="34"/>
    </w:p>
    <w:p w14:paraId="258F2937" w14:textId="77777777" w:rsidR="00BE5C13" w:rsidRDefault="00FC159E" w:rsidP="00BE5C13">
      <w:pPr>
        <w:pStyle w:val="Heading5"/>
      </w:pPr>
      <w:r>
        <w:t>the functionality and features of the service, including any generative AI functionality or features (other than any</w:t>
      </w:r>
      <w:r w:rsidR="00F97AB0">
        <w:t xml:space="preserve"> </w:t>
      </w:r>
      <w:r>
        <w:t>AI companion chatbot feature);</w:t>
      </w:r>
      <w:bookmarkStart w:id="35" w:name="_heading=h.9ck599m5qllf" w:colFirst="0" w:colLast="0"/>
      <w:bookmarkEnd w:id="35"/>
    </w:p>
    <w:p w14:paraId="002CEA64" w14:textId="77777777" w:rsidR="00BE5C13" w:rsidRDefault="00FC159E" w:rsidP="00BE5C13">
      <w:pPr>
        <w:pStyle w:val="Heading4"/>
        <w:numPr>
          <w:ilvl w:val="0"/>
          <w:numId w:val="0"/>
        </w:numPr>
        <w:ind w:left="2948"/>
      </w:pPr>
      <w:r w:rsidRPr="002922DA">
        <w:rPr>
          <w:sz w:val="16"/>
          <w:szCs w:val="16"/>
          <w:u w:val="single"/>
        </w:rPr>
        <w:t>Note</w:t>
      </w:r>
      <w:bookmarkStart w:id="36" w:name="_heading=h.xnf7vsedy0gi" w:colFirst="0" w:colLast="0"/>
      <w:bookmarkEnd w:id="36"/>
      <w:r w:rsidRPr="002922DA">
        <w:rPr>
          <w:sz w:val="16"/>
          <w:szCs w:val="16"/>
        </w:rPr>
        <w:t>: A service that provides an integrated chat or messaging function should be regarded as higher risk than a service without those features.</w:t>
      </w:r>
      <w:r>
        <w:t xml:space="preserve"> </w:t>
      </w:r>
    </w:p>
    <w:p w14:paraId="5628B5C6" w14:textId="77777777" w:rsidR="00BE5C13" w:rsidRDefault="00FC159E" w:rsidP="00BE5C13">
      <w:pPr>
        <w:pStyle w:val="Heading4"/>
        <w:keepNext/>
      </w:pPr>
      <w:r>
        <w:t>in relation to the social media service as a whole (including any AI companion chatbot feature):</w:t>
      </w:r>
      <w:bookmarkStart w:id="37" w:name="_heading=h.ple7mvyk5y08" w:colFirst="0" w:colLast="0"/>
      <w:bookmarkEnd w:id="37"/>
    </w:p>
    <w:p w14:paraId="72D256A7" w14:textId="77777777" w:rsidR="00D52BC1" w:rsidRPr="00DA193A" w:rsidRDefault="00FC159E" w:rsidP="00BE5C13">
      <w:pPr>
        <w:pStyle w:val="Heading5"/>
        <w:rPr>
          <w:lang w:val="en-GB"/>
        </w:rPr>
      </w:pPr>
      <w:r w:rsidRPr="00DA193A">
        <w:rPr>
          <w:lang w:val="en-GB"/>
        </w:rPr>
        <w:t>the terms of use for the service;</w:t>
      </w:r>
    </w:p>
    <w:p w14:paraId="0A533836" w14:textId="77777777" w:rsidR="005D2E14" w:rsidRPr="00DA193A" w:rsidRDefault="00FC159E" w:rsidP="00BE5C13">
      <w:pPr>
        <w:pStyle w:val="Heading5"/>
        <w:rPr>
          <w:lang w:val="en-GB"/>
        </w:rPr>
      </w:pPr>
      <w:r w:rsidRPr="00DA193A">
        <w:rPr>
          <w:lang w:val="en-GB"/>
        </w:rPr>
        <w:t>the ages of end-users and likely end-users of the service</w:t>
      </w:r>
      <w:r w:rsidR="00890425" w:rsidRPr="00DA193A">
        <w:rPr>
          <w:lang w:val="en-GB"/>
        </w:rPr>
        <w:t>;</w:t>
      </w:r>
    </w:p>
    <w:p w14:paraId="35A026B1" w14:textId="77777777" w:rsidR="005D2E14" w:rsidRPr="00DA193A" w:rsidRDefault="00FC159E" w:rsidP="00BE5C13">
      <w:pPr>
        <w:pStyle w:val="Heading5"/>
        <w:rPr>
          <w:lang w:val="en-GB"/>
        </w:rPr>
      </w:pPr>
      <w:r w:rsidRPr="00DA193A">
        <w:rPr>
          <w:lang w:val="en-GB"/>
        </w:rPr>
        <w:t xml:space="preserve">the likelihood that </w:t>
      </w:r>
      <w:r w:rsidR="0008276D" w:rsidRPr="00DA193A">
        <w:rPr>
          <w:lang w:val="en-GB"/>
        </w:rPr>
        <w:t xml:space="preserve">a significant number of </w:t>
      </w:r>
      <w:r w:rsidR="00D52BC1" w:rsidRPr="00DA193A">
        <w:rPr>
          <w:lang w:val="en-GB"/>
        </w:rPr>
        <w:t xml:space="preserve">Australian </w:t>
      </w:r>
      <w:r w:rsidR="0008276D" w:rsidRPr="00DA193A">
        <w:rPr>
          <w:lang w:val="en-GB"/>
        </w:rPr>
        <w:t>children will access the service</w:t>
      </w:r>
      <w:r w:rsidR="00D07F15" w:rsidRPr="00DA193A">
        <w:rPr>
          <w:lang w:val="en-GB"/>
        </w:rPr>
        <w:t>;</w:t>
      </w:r>
    </w:p>
    <w:p w14:paraId="5BF91B2E" w14:textId="77777777" w:rsidR="005D2E14" w:rsidRPr="00DA193A" w:rsidRDefault="00FC159E" w:rsidP="00BE5C13">
      <w:pPr>
        <w:pStyle w:val="Heading5"/>
        <w:rPr>
          <w:lang w:val="en-GB"/>
        </w:rPr>
      </w:pPr>
      <w:r w:rsidRPr="00DA193A">
        <w:rPr>
          <w:lang w:val="en-GB"/>
        </w:rPr>
        <w:t xml:space="preserve">the number of Australian end-users that are monthly active account holders; </w:t>
      </w:r>
    </w:p>
    <w:p w14:paraId="7E94AD77" w14:textId="77777777" w:rsidR="00F060F7" w:rsidRPr="00DA193A" w:rsidRDefault="00FC159E" w:rsidP="00BE5C13">
      <w:pPr>
        <w:pStyle w:val="Heading4"/>
        <w:numPr>
          <w:ilvl w:val="0"/>
          <w:numId w:val="0"/>
        </w:numPr>
        <w:ind w:left="2880"/>
        <w:rPr>
          <w:lang w:val="en-GB"/>
        </w:rPr>
      </w:pPr>
      <w:r w:rsidRPr="00DA193A">
        <w:rPr>
          <w:sz w:val="16"/>
          <w:szCs w:val="16"/>
          <w:u w:val="single"/>
          <w:lang w:val="en-GB"/>
        </w:rPr>
        <w:t>Note</w:t>
      </w:r>
      <w:r w:rsidRPr="00DA193A">
        <w:rPr>
          <w:sz w:val="16"/>
          <w:szCs w:val="16"/>
          <w:lang w:val="en-GB"/>
        </w:rPr>
        <w:t xml:space="preserve">: A service with a large </w:t>
      </w:r>
      <w:r w:rsidRPr="00DA193A">
        <w:rPr>
          <w:sz w:val="16"/>
          <w:szCs w:val="16"/>
        </w:rPr>
        <w:t>number of Australian end-users that are monthly active account holders should be regarded as higher risk</w:t>
      </w:r>
      <w:r w:rsidR="00A32738" w:rsidRPr="00DA193A">
        <w:rPr>
          <w:sz w:val="16"/>
          <w:szCs w:val="16"/>
        </w:rPr>
        <w:t xml:space="preserve"> than a service with fewer such account holders</w:t>
      </w:r>
      <w:r w:rsidRPr="00DA193A">
        <w:rPr>
          <w:sz w:val="16"/>
          <w:szCs w:val="16"/>
        </w:rPr>
        <w:t>.</w:t>
      </w:r>
    </w:p>
    <w:p w14:paraId="28CFB4CE" w14:textId="77777777" w:rsidR="007C7AE0" w:rsidRPr="00DA193A" w:rsidRDefault="00FC159E" w:rsidP="002F65D1">
      <w:pPr>
        <w:pStyle w:val="Heading5"/>
        <w:rPr>
          <w:lang w:val="en-GB"/>
        </w:rPr>
      </w:pPr>
      <w:r w:rsidRPr="00DA193A">
        <w:rPr>
          <w:lang w:val="en-GB"/>
        </w:rPr>
        <w:t>the number of Australian children that are monthly active account holders;</w:t>
      </w:r>
    </w:p>
    <w:p w14:paraId="4357FF01" w14:textId="77777777" w:rsidR="00F060F7" w:rsidRPr="00DA193A" w:rsidRDefault="00FC159E" w:rsidP="002F65D1">
      <w:pPr>
        <w:pStyle w:val="Heading4"/>
        <w:numPr>
          <w:ilvl w:val="0"/>
          <w:numId w:val="0"/>
        </w:numPr>
        <w:ind w:left="2880"/>
        <w:rPr>
          <w:lang w:val="en-GB"/>
        </w:rPr>
      </w:pPr>
      <w:r w:rsidRPr="00DA193A">
        <w:rPr>
          <w:sz w:val="16"/>
          <w:szCs w:val="16"/>
          <w:u w:val="single"/>
          <w:lang w:val="en-GB"/>
        </w:rPr>
        <w:t>Note</w:t>
      </w:r>
      <w:r w:rsidRPr="00DA193A">
        <w:rPr>
          <w:sz w:val="16"/>
          <w:szCs w:val="16"/>
          <w:lang w:val="en-GB"/>
        </w:rPr>
        <w:t xml:space="preserve">: A service with a large </w:t>
      </w:r>
      <w:r w:rsidRPr="00DA193A">
        <w:rPr>
          <w:sz w:val="16"/>
          <w:szCs w:val="16"/>
        </w:rPr>
        <w:t>number of Australian children that are monthly active account holders should be regarded as higher risk</w:t>
      </w:r>
      <w:r w:rsidR="00A32738" w:rsidRPr="00DA193A">
        <w:rPr>
          <w:sz w:val="16"/>
          <w:szCs w:val="16"/>
        </w:rPr>
        <w:t xml:space="preserve"> than a service with fewer such account holders</w:t>
      </w:r>
      <w:r w:rsidRPr="00DA193A">
        <w:rPr>
          <w:sz w:val="16"/>
          <w:szCs w:val="16"/>
        </w:rPr>
        <w:t>.</w:t>
      </w:r>
    </w:p>
    <w:p w14:paraId="21DE9DBC" w14:textId="77777777" w:rsidR="00F060F7" w:rsidRPr="00DA193A" w:rsidRDefault="00FC159E" w:rsidP="002F65D1">
      <w:pPr>
        <w:pStyle w:val="Heading5"/>
        <w:rPr>
          <w:lang w:val="en-GB"/>
        </w:rPr>
      </w:pPr>
      <w:r w:rsidRPr="00DA193A">
        <w:rPr>
          <w:lang w:val="en-GB"/>
        </w:rPr>
        <w:t>the primary purpose of the service;</w:t>
      </w:r>
    </w:p>
    <w:p w14:paraId="7455FD00" w14:textId="77777777" w:rsidR="0097011D" w:rsidRPr="00DA193A" w:rsidRDefault="00FC159E" w:rsidP="002F65D1">
      <w:pPr>
        <w:pStyle w:val="Heading4"/>
        <w:numPr>
          <w:ilvl w:val="0"/>
          <w:numId w:val="0"/>
        </w:numPr>
        <w:ind w:left="2880"/>
        <w:rPr>
          <w:lang w:val="en-GB"/>
        </w:rPr>
      </w:pPr>
      <w:r w:rsidRPr="00DA193A">
        <w:rPr>
          <w:sz w:val="16"/>
          <w:szCs w:val="16"/>
          <w:u w:val="single"/>
          <w:lang w:val="en-GB"/>
        </w:rPr>
        <w:t>Note</w:t>
      </w:r>
      <w:r w:rsidRPr="00DA193A">
        <w:rPr>
          <w:sz w:val="16"/>
          <w:szCs w:val="16"/>
          <w:lang w:val="en-GB"/>
        </w:rPr>
        <w:t>: A service</w:t>
      </w:r>
      <w:r w:rsidRPr="00DA193A">
        <w:rPr>
          <w:sz w:val="16"/>
          <w:szCs w:val="16"/>
        </w:rPr>
        <w:t>.</w:t>
      </w:r>
      <w:r w:rsidR="007F5351" w:rsidRPr="00DA193A">
        <w:rPr>
          <w:sz w:val="16"/>
          <w:szCs w:val="16"/>
        </w:rPr>
        <w:t xml:space="preserve">with the primary purpose of enabling general social interaction should be regarded as higher risk than a service with the primary purpose of enabling social interaction within a limited user group (such as a particular school, neighbourhood or enterprise) or for a limited purpose (such as to enable users to post reviews of products and services </w:t>
      </w:r>
      <w:r w:rsidR="007743DC" w:rsidRPr="00DA193A">
        <w:rPr>
          <w:sz w:val="16"/>
          <w:szCs w:val="16"/>
        </w:rPr>
        <w:t>or for a limited commercial or public purpose such as the crowdfunding of commercial or charitable activities or social causes or to start an online petition for social change).</w:t>
      </w:r>
    </w:p>
    <w:p w14:paraId="21D7E2B0" w14:textId="77777777" w:rsidR="0039411F" w:rsidRPr="00DA193A" w:rsidRDefault="00FC159E" w:rsidP="002F65D1">
      <w:pPr>
        <w:pStyle w:val="Heading5"/>
        <w:rPr>
          <w:lang w:val="en-GB"/>
        </w:rPr>
      </w:pPr>
      <w:r w:rsidRPr="00DA193A">
        <w:rPr>
          <w:lang w:val="en-GB"/>
        </w:rPr>
        <w:t>a forward-looking analysis of:</w:t>
      </w:r>
    </w:p>
    <w:p w14:paraId="72202CD0" w14:textId="77777777" w:rsidR="0039411F" w:rsidRPr="00DA193A" w:rsidRDefault="00FC159E" w:rsidP="002F65D1">
      <w:pPr>
        <w:pStyle w:val="Heading6"/>
        <w:rPr>
          <w:lang w:val="en-GB"/>
        </w:rPr>
      </w:pPr>
      <w:r w:rsidRPr="00DA193A">
        <w:rPr>
          <w:lang w:val="en-GB"/>
        </w:rPr>
        <w:t>likely changes to the operating environment for the service</w:t>
      </w:r>
      <w:r w:rsidR="0052626D" w:rsidRPr="00DA193A">
        <w:rPr>
          <w:lang w:val="en-GB"/>
        </w:rPr>
        <w:t xml:space="preserve"> including likely changes in the functionality or purpose of, or the scale of, the service</w:t>
      </w:r>
      <w:r w:rsidRPr="00DA193A">
        <w:rPr>
          <w:lang w:val="en-GB"/>
        </w:rPr>
        <w:t>;</w:t>
      </w:r>
      <w:r w:rsidR="00FD0FA2" w:rsidRPr="00DA193A">
        <w:rPr>
          <w:lang w:val="en-GB"/>
        </w:rPr>
        <w:t xml:space="preserve"> and</w:t>
      </w:r>
    </w:p>
    <w:p w14:paraId="57640E37" w14:textId="77777777" w:rsidR="0039411F" w:rsidRPr="00DA193A" w:rsidRDefault="00FC159E" w:rsidP="002F65D1">
      <w:pPr>
        <w:pStyle w:val="Heading6"/>
        <w:rPr>
          <w:lang w:val="en-GB"/>
        </w:rPr>
      </w:pPr>
      <w:r w:rsidRPr="00DA193A">
        <w:rPr>
          <w:lang w:val="en-GB"/>
        </w:rPr>
        <w:t xml:space="preserve">the impact of those changes on the ability </w:t>
      </w:r>
      <w:r w:rsidR="00FD0FA2" w:rsidRPr="00DA193A">
        <w:rPr>
          <w:lang w:val="en-GB"/>
        </w:rPr>
        <w:t>of the service provider to meet the online safety objectives that apply under this Code;</w:t>
      </w:r>
    </w:p>
    <w:p w14:paraId="34822820" w14:textId="77777777" w:rsidR="005D2E14" w:rsidRPr="00DA193A" w:rsidRDefault="00FC159E" w:rsidP="002F65D1">
      <w:pPr>
        <w:pStyle w:val="Heading5"/>
        <w:rPr>
          <w:lang w:val="en-GB"/>
        </w:rPr>
      </w:pPr>
      <w:r w:rsidRPr="00DA193A">
        <w:rPr>
          <w:lang w:val="en-GB"/>
        </w:rPr>
        <w:t xml:space="preserve">safety by design guidance and tools published or made available by a </w:t>
      </w:r>
      <w:r w:rsidR="007B491D" w:rsidRPr="00DA193A">
        <w:rPr>
          <w:lang w:val="en-GB"/>
        </w:rPr>
        <w:t xml:space="preserve">relevant </w:t>
      </w:r>
      <w:r w:rsidRPr="00DA193A">
        <w:rPr>
          <w:lang w:val="en-GB"/>
        </w:rPr>
        <w:t>government agency or a foreign or international body;</w:t>
      </w:r>
      <w:r w:rsidR="00AB6E8D" w:rsidRPr="00DA193A">
        <w:rPr>
          <w:lang w:val="en-GB"/>
        </w:rPr>
        <w:t xml:space="preserve"> </w:t>
      </w:r>
    </w:p>
    <w:p w14:paraId="004A2CCB" w14:textId="77777777" w:rsidR="005D2E14" w:rsidRPr="00DA193A" w:rsidRDefault="00FC159E" w:rsidP="002F65D1">
      <w:pPr>
        <w:pStyle w:val="Heading4"/>
        <w:numPr>
          <w:ilvl w:val="0"/>
          <w:numId w:val="0"/>
        </w:numPr>
        <w:ind w:left="2880"/>
        <w:rPr>
          <w:sz w:val="16"/>
          <w:szCs w:val="16"/>
          <w:lang w:val="en-GB"/>
        </w:rPr>
      </w:pPr>
      <w:r w:rsidRPr="00DA193A">
        <w:rPr>
          <w:sz w:val="16"/>
          <w:szCs w:val="16"/>
          <w:u w:val="single"/>
          <w:lang w:val="en-GB"/>
        </w:rPr>
        <w:t>Note</w:t>
      </w:r>
      <w:r w:rsidRPr="00DA193A">
        <w:rPr>
          <w:sz w:val="16"/>
          <w:szCs w:val="16"/>
          <w:lang w:val="en-GB"/>
        </w:rPr>
        <w:t xml:space="preserve">: </w:t>
      </w:r>
      <w:r w:rsidRPr="00DA193A">
        <w:rPr>
          <w:sz w:val="16"/>
          <w:szCs w:val="16"/>
        </w:rPr>
        <w:t>Examples of relevant agencies and bodies are eSafety and the Digital Trust &amp; Safety Partnership.</w:t>
      </w:r>
    </w:p>
    <w:p w14:paraId="38A52111" w14:textId="77777777" w:rsidR="00E82FF1" w:rsidRPr="00DA193A" w:rsidRDefault="00FC159E" w:rsidP="002F65D1">
      <w:pPr>
        <w:pStyle w:val="Heading5"/>
        <w:rPr>
          <w:lang w:val="en-GB"/>
        </w:rPr>
      </w:pPr>
      <w:r w:rsidRPr="00DA193A">
        <w:rPr>
          <w:lang w:val="en-GB"/>
        </w:rPr>
        <w:t xml:space="preserve">relevant international </w:t>
      </w:r>
      <w:r w:rsidR="00AC677F" w:rsidRPr="00DA193A">
        <w:rPr>
          <w:lang w:val="en-GB"/>
        </w:rPr>
        <w:t xml:space="preserve">laws and regulations </w:t>
      </w:r>
      <w:r w:rsidR="008437B7" w:rsidRPr="00DA193A">
        <w:rPr>
          <w:lang w:val="en-GB"/>
        </w:rPr>
        <w:t xml:space="preserve">applicable to the service </w:t>
      </w:r>
      <w:r w:rsidR="00AC677F" w:rsidRPr="00DA193A">
        <w:rPr>
          <w:lang w:val="en-GB"/>
        </w:rPr>
        <w:t xml:space="preserve">that address online safety risks and harms </w:t>
      </w:r>
      <w:r w:rsidR="00A54EC8" w:rsidRPr="00DA193A">
        <w:rPr>
          <w:lang w:val="en-GB"/>
        </w:rPr>
        <w:t xml:space="preserve">similar to </w:t>
      </w:r>
      <w:r w:rsidR="00AC677F" w:rsidRPr="00DA193A">
        <w:rPr>
          <w:lang w:val="en-GB"/>
        </w:rPr>
        <w:t xml:space="preserve">those </w:t>
      </w:r>
      <w:r w:rsidR="00A54EC8" w:rsidRPr="00DA193A">
        <w:rPr>
          <w:lang w:val="en-GB"/>
        </w:rPr>
        <w:t xml:space="preserve">addressed </w:t>
      </w:r>
      <w:r w:rsidR="00AC677F" w:rsidRPr="00DA193A">
        <w:rPr>
          <w:lang w:val="en-GB"/>
        </w:rPr>
        <w:t>in this Code; and</w:t>
      </w:r>
    </w:p>
    <w:p w14:paraId="31F2614B" w14:textId="77777777" w:rsidR="005D2E14" w:rsidRDefault="00FC159E" w:rsidP="002F65D1">
      <w:pPr>
        <w:pStyle w:val="Heading5"/>
        <w:rPr>
          <w:lang w:val="en-GB"/>
        </w:rPr>
      </w:pPr>
      <w:r w:rsidRPr="00DA193A">
        <w:t xml:space="preserve">where applicable, design </w:t>
      </w:r>
      <w:r w:rsidRPr="00DA193A">
        <w:rPr>
          <w:lang w:val="en-GB"/>
        </w:rPr>
        <w:t>features</w:t>
      </w:r>
      <w:r w:rsidRPr="00DA193A">
        <w:t xml:space="preserve"> and controls deployed to mitigate relevant risks</w:t>
      </w:r>
      <w:r w:rsidRPr="00DA193A">
        <w:rPr>
          <w:lang w:val="en-GB"/>
        </w:rPr>
        <w:t>.</w:t>
      </w:r>
      <w:bookmarkEnd w:id="27"/>
    </w:p>
    <w:p w14:paraId="3A8B537D" w14:textId="77777777" w:rsidR="002F65D1" w:rsidRPr="00295330" w:rsidRDefault="00FC159E" w:rsidP="002F65D1">
      <w:pPr>
        <w:ind w:left="2160"/>
        <w:rPr>
          <w:sz w:val="18"/>
          <w:szCs w:val="18"/>
          <w:lang w:val="en-GB"/>
        </w:rPr>
      </w:pPr>
      <w:r w:rsidRPr="002922DA">
        <w:rPr>
          <w:sz w:val="16"/>
          <w:szCs w:val="16"/>
          <w:u w:val="single"/>
        </w:rPr>
        <w:t>Note</w:t>
      </w:r>
      <w:r w:rsidRPr="002922DA">
        <w:rPr>
          <w:sz w:val="16"/>
          <w:szCs w:val="16"/>
        </w:rPr>
        <w:t>: Without limiting this clause 5(b), circumstances in which a matter will not be relevant to a service include where it is not relevant to the risk level of the service in the circumstances, relates to a topic that is irrelevant to the particular service due to its nature, or requires consideration of information that is not available for the service</w:t>
      </w:r>
      <w:r w:rsidRPr="002922DA">
        <w:rPr>
          <w:rFonts w:ascii="Roboto" w:eastAsia="Roboto" w:hAnsi="Roboto" w:cs="Roboto"/>
          <w:color w:val="444746"/>
          <w:sz w:val="16"/>
          <w:szCs w:val="16"/>
          <w:highlight w:val="white"/>
        </w:rPr>
        <w:t>.</w:t>
      </w:r>
    </w:p>
    <w:p w14:paraId="0E0EA2B4" w14:textId="77777777" w:rsidR="005D2E14" w:rsidRPr="00DA193A" w:rsidRDefault="00FC159E">
      <w:pPr>
        <w:pStyle w:val="Heading1"/>
        <w:rPr>
          <w:lang w:val="en-GB"/>
        </w:rPr>
      </w:pPr>
      <w:bookmarkStart w:id="38" w:name="_Ref174377378"/>
      <w:bookmarkStart w:id="39" w:name="_Ref102993933"/>
      <w:r w:rsidRPr="00DA193A">
        <w:rPr>
          <w:lang w:val="en-GB"/>
        </w:rPr>
        <w:t>Approach to measures and guidance for social media services</w:t>
      </w:r>
      <w:bookmarkEnd w:id="38"/>
      <w:bookmarkEnd w:id="39"/>
      <w:r w:rsidRPr="00DA193A">
        <w:rPr>
          <w:lang w:val="en-GB"/>
        </w:rPr>
        <w:t xml:space="preserve"> </w:t>
      </w:r>
    </w:p>
    <w:p w14:paraId="62848105" w14:textId="77777777" w:rsidR="000D139D" w:rsidRPr="00DA193A" w:rsidRDefault="00FC159E" w:rsidP="00F97AB0">
      <w:pPr>
        <w:pStyle w:val="Heading3"/>
        <w:keepNext/>
        <w:rPr>
          <w:lang w:val="en-GB"/>
        </w:rPr>
      </w:pPr>
      <w:r w:rsidRPr="00DA193A">
        <w:rPr>
          <w:lang w:val="en-GB"/>
        </w:rPr>
        <w:t xml:space="preserve">The tables in sections </w:t>
      </w:r>
      <w:r w:rsidRPr="00DA193A">
        <w:rPr>
          <w:lang w:val="en-GB"/>
        </w:rPr>
        <w:fldChar w:fldCharType="begin"/>
      </w:r>
      <w:r w:rsidRPr="00DA193A">
        <w:rPr>
          <w:lang w:val="en-GB"/>
        </w:rPr>
        <w:instrText xml:space="preserve"> REF _Ref173404089 \r \h </w:instrText>
      </w:r>
      <w:r w:rsidR="00A304F2" w:rsidRPr="00DA193A">
        <w:rPr>
          <w:lang w:val="en-GB"/>
        </w:rPr>
        <w:instrText xml:space="preserve"> \* MERGEFORMAT </w:instrText>
      </w:r>
      <w:r w:rsidRPr="00DA193A">
        <w:rPr>
          <w:lang w:val="en-GB"/>
        </w:rPr>
      </w:r>
      <w:r w:rsidRPr="00DA193A">
        <w:rPr>
          <w:lang w:val="en-GB"/>
        </w:rPr>
        <w:fldChar w:fldCharType="separate"/>
      </w:r>
      <w:r w:rsidR="006E374E">
        <w:rPr>
          <w:lang w:val="en-GB"/>
        </w:rPr>
        <w:t>7</w:t>
      </w:r>
      <w:r w:rsidRPr="00DA193A">
        <w:rPr>
          <w:lang w:val="en-GB"/>
        </w:rPr>
        <w:fldChar w:fldCharType="end"/>
      </w:r>
      <w:r w:rsidR="008D4C0B" w:rsidRPr="00DA193A">
        <w:rPr>
          <w:lang w:val="en-GB"/>
        </w:rPr>
        <w:t xml:space="preserve">, </w:t>
      </w:r>
      <w:r w:rsidR="008D4C0B" w:rsidRPr="00DA193A">
        <w:rPr>
          <w:lang w:val="en-GB"/>
        </w:rPr>
        <w:fldChar w:fldCharType="begin"/>
      </w:r>
      <w:r w:rsidR="008D4C0B" w:rsidRPr="00DA193A">
        <w:rPr>
          <w:lang w:val="en-GB"/>
        </w:rPr>
        <w:instrText xml:space="preserve"> REF _Ref173404090 \r \h </w:instrText>
      </w:r>
      <w:r w:rsidR="00A304F2" w:rsidRPr="00DA193A">
        <w:rPr>
          <w:lang w:val="en-GB"/>
        </w:rPr>
        <w:instrText xml:space="preserve"> \* MERGEFORMAT </w:instrText>
      </w:r>
      <w:r w:rsidR="008D4C0B" w:rsidRPr="00DA193A">
        <w:rPr>
          <w:lang w:val="en-GB"/>
        </w:rPr>
      </w:r>
      <w:r w:rsidR="008D4C0B" w:rsidRPr="00DA193A">
        <w:rPr>
          <w:lang w:val="en-GB"/>
        </w:rPr>
        <w:fldChar w:fldCharType="separate"/>
      </w:r>
      <w:r w:rsidR="006E374E">
        <w:rPr>
          <w:lang w:val="en-GB"/>
        </w:rPr>
        <w:t>8</w:t>
      </w:r>
      <w:r w:rsidR="008D4C0B" w:rsidRPr="00DA193A">
        <w:rPr>
          <w:lang w:val="en-GB"/>
        </w:rPr>
        <w:fldChar w:fldCharType="end"/>
      </w:r>
      <w:r w:rsidR="00D624C0" w:rsidRPr="00DA193A">
        <w:rPr>
          <w:lang w:val="en-GB"/>
        </w:rPr>
        <w:t>,</w:t>
      </w:r>
      <w:r w:rsidRPr="00DA193A">
        <w:rPr>
          <w:lang w:val="en-GB"/>
        </w:rPr>
        <w:t xml:space="preserve"> </w:t>
      </w:r>
      <w:r w:rsidR="00290E18" w:rsidRPr="00DA193A">
        <w:rPr>
          <w:lang w:val="en-GB"/>
        </w:rPr>
        <w:fldChar w:fldCharType="begin"/>
      </w:r>
      <w:r w:rsidR="00290E18" w:rsidRPr="00DA193A">
        <w:rPr>
          <w:lang w:val="en-GB"/>
        </w:rPr>
        <w:instrText xml:space="preserve"> REF _Ref175224177 \w \h </w:instrText>
      </w:r>
      <w:r w:rsidR="00A304F2" w:rsidRPr="00DA193A">
        <w:rPr>
          <w:lang w:val="en-GB"/>
        </w:rPr>
        <w:instrText xml:space="preserve"> \* MERGEFORMAT </w:instrText>
      </w:r>
      <w:r w:rsidR="00290E18" w:rsidRPr="00DA193A">
        <w:rPr>
          <w:lang w:val="en-GB"/>
        </w:rPr>
      </w:r>
      <w:r w:rsidR="00290E18" w:rsidRPr="00DA193A">
        <w:rPr>
          <w:lang w:val="en-GB"/>
        </w:rPr>
        <w:fldChar w:fldCharType="separate"/>
      </w:r>
      <w:r w:rsidR="006E374E">
        <w:rPr>
          <w:lang w:val="en-GB"/>
        </w:rPr>
        <w:t>9</w:t>
      </w:r>
      <w:r w:rsidR="00290E18" w:rsidRPr="00DA193A">
        <w:rPr>
          <w:lang w:val="en-GB"/>
        </w:rPr>
        <w:fldChar w:fldCharType="end"/>
      </w:r>
      <w:r w:rsidRPr="00DA193A">
        <w:rPr>
          <w:lang w:val="en-GB"/>
        </w:rPr>
        <w:t xml:space="preserve"> </w:t>
      </w:r>
      <w:r w:rsidR="00D624C0" w:rsidRPr="00DA193A">
        <w:rPr>
          <w:lang w:val="en-GB"/>
        </w:rPr>
        <w:t xml:space="preserve">and </w:t>
      </w:r>
      <w:r w:rsidR="007223FC">
        <w:rPr>
          <w:lang w:val="en-GB"/>
        </w:rPr>
        <w:fldChar w:fldCharType="begin"/>
      </w:r>
      <w:r w:rsidR="007223FC">
        <w:rPr>
          <w:lang w:val="en-GB"/>
        </w:rPr>
        <w:instrText xml:space="preserve"> REF _Ref201330287 \w \h </w:instrText>
      </w:r>
      <w:r w:rsidR="007223FC">
        <w:rPr>
          <w:lang w:val="en-GB"/>
        </w:rPr>
      </w:r>
      <w:r w:rsidR="007223FC">
        <w:rPr>
          <w:lang w:val="en-GB"/>
        </w:rPr>
        <w:fldChar w:fldCharType="separate"/>
      </w:r>
      <w:r w:rsidR="006E374E">
        <w:rPr>
          <w:lang w:val="en-GB"/>
        </w:rPr>
        <w:t>10</w:t>
      </w:r>
      <w:r w:rsidR="007223FC">
        <w:rPr>
          <w:lang w:val="en-GB"/>
        </w:rPr>
        <w:fldChar w:fldCharType="end"/>
      </w:r>
      <w:r w:rsidR="00D624C0" w:rsidRPr="00DA193A">
        <w:rPr>
          <w:lang w:val="en-GB"/>
        </w:rPr>
        <w:t xml:space="preserve"> </w:t>
      </w:r>
      <w:r w:rsidRPr="00DA193A">
        <w:rPr>
          <w:lang w:val="en-GB"/>
        </w:rPr>
        <w:t xml:space="preserve">below contain mandatory compliance measures for providers of social media services under this Code, </w:t>
      </w:r>
      <w:r w:rsidR="007F03B4" w:rsidRPr="00DA193A">
        <w:rPr>
          <w:lang w:val="en-GB"/>
        </w:rPr>
        <w:t>as follows:</w:t>
      </w:r>
    </w:p>
    <w:p w14:paraId="10568E69" w14:textId="77777777" w:rsidR="007F03B4" w:rsidRPr="00DA193A" w:rsidRDefault="00FC159E" w:rsidP="000D139D">
      <w:pPr>
        <w:pStyle w:val="Heading4"/>
        <w:rPr>
          <w:lang w:val="en-GB"/>
        </w:rPr>
      </w:pPr>
      <w:r w:rsidRPr="00DA193A">
        <w:rPr>
          <w:lang w:val="en-GB"/>
        </w:rPr>
        <w:t xml:space="preserve">the table in section </w:t>
      </w:r>
      <w:r w:rsidRPr="00DA193A">
        <w:rPr>
          <w:lang w:val="en-GB"/>
        </w:rPr>
        <w:fldChar w:fldCharType="begin"/>
      </w:r>
      <w:r w:rsidRPr="00DA193A">
        <w:rPr>
          <w:lang w:val="en-GB"/>
        </w:rPr>
        <w:instrText xml:space="preserve"> REF _Ref173404089 \r \h </w:instrText>
      </w:r>
      <w:r w:rsidR="00A304F2" w:rsidRPr="00DA193A">
        <w:rPr>
          <w:lang w:val="en-GB"/>
        </w:rPr>
        <w:instrText xml:space="preserve"> \* MERGEFORMAT </w:instrText>
      </w:r>
      <w:r w:rsidRPr="00DA193A">
        <w:rPr>
          <w:lang w:val="en-GB"/>
        </w:rPr>
      </w:r>
      <w:r w:rsidRPr="00DA193A">
        <w:rPr>
          <w:lang w:val="en-GB"/>
        </w:rPr>
        <w:fldChar w:fldCharType="separate"/>
      </w:r>
      <w:r w:rsidR="006E374E">
        <w:rPr>
          <w:lang w:val="en-GB"/>
        </w:rPr>
        <w:t>7</w:t>
      </w:r>
      <w:r w:rsidRPr="00DA193A">
        <w:rPr>
          <w:lang w:val="en-GB"/>
        </w:rPr>
        <w:fldChar w:fldCharType="end"/>
      </w:r>
      <w:r w:rsidRPr="00DA193A">
        <w:rPr>
          <w:lang w:val="en-GB"/>
        </w:rPr>
        <w:t xml:space="preserve"> sets out compliance measures that apply to the extent that </w:t>
      </w:r>
      <w:r w:rsidR="007743DC" w:rsidRPr="00DA193A">
        <w:rPr>
          <w:lang w:val="en-GB"/>
        </w:rPr>
        <w:t>online pornography, self-harm material or high-impact violence material</w:t>
      </w:r>
      <w:r w:rsidRPr="00DA193A">
        <w:rPr>
          <w:lang w:val="en-GB"/>
        </w:rPr>
        <w:t xml:space="preserve"> </w:t>
      </w:r>
      <w:r w:rsidR="00290E18" w:rsidRPr="00DA193A">
        <w:rPr>
          <w:lang w:val="en-GB"/>
        </w:rPr>
        <w:t xml:space="preserve">is </w:t>
      </w:r>
      <w:r w:rsidRPr="00DA193A">
        <w:rPr>
          <w:lang w:val="en-GB"/>
        </w:rPr>
        <w:t>allowed to be posted on the social media service under the applicable terms of use</w:t>
      </w:r>
      <w:r w:rsidR="000C7C5A" w:rsidRPr="00DA193A">
        <w:rPr>
          <w:lang w:val="en-GB"/>
        </w:rPr>
        <w:t>,</w:t>
      </w:r>
      <w:r w:rsidR="00825706" w:rsidRPr="00DA193A">
        <w:rPr>
          <w:lang w:val="en-GB"/>
        </w:rPr>
        <w:t xml:space="preserve"> but do not apply to any messaging feature</w:t>
      </w:r>
      <w:r w:rsidR="002F65D1">
        <w:rPr>
          <w:lang w:val="en-GB"/>
        </w:rPr>
        <w:t xml:space="preserve"> </w:t>
      </w:r>
      <w:r w:rsidR="002F65D1">
        <w:t>or AI companion chatbot feature</w:t>
      </w:r>
      <w:r w:rsidRPr="00DA193A">
        <w:rPr>
          <w:lang w:val="en-GB"/>
        </w:rPr>
        <w:t>;</w:t>
      </w:r>
    </w:p>
    <w:p w14:paraId="63A213B4" w14:textId="77777777" w:rsidR="007F03B4" w:rsidRPr="00DA193A" w:rsidRDefault="00FC159E" w:rsidP="000D139D">
      <w:pPr>
        <w:pStyle w:val="Heading4"/>
        <w:rPr>
          <w:lang w:val="en-GB"/>
        </w:rPr>
      </w:pPr>
      <w:r w:rsidRPr="00DA193A">
        <w:rPr>
          <w:lang w:val="en-GB"/>
        </w:rPr>
        <w:t xml:space="preserve">the table in section </w:t>
      </w:r>
      <w:r w:rsidRPr="00DA193A">
        <w:rPr>
          <w:lang w:val="en-GB"/>
        </w:rPr>
        <w:fldChar w:fldCharType="begin"/>
      </w:r>
      <w:r w:rsidRPr="00DA193A">
        <w:rPr>
          <w:lang w:val="en-GB"/>
        </w:rPr>
        <w:instrText xml:space="preserve"> REF _Ref173404090 \r \h </w:instrText>
      </w:r>
      <w:r w:rsidR="00A304F2" w:rsidRPr="00DA193A">
        <w:rPr>
          <w:lang w:val="en-GB"/>
        </w:rPr>
        <w:instrText xml:space="preserve"> \* MERGEFORMAT </w:instrText>
      </w:r>
      <w:r w:rsidRPr="00DA193A">
        <w:rPr>
          <w:lang w:val="en-GB"/>
        </w:rPr>
      </w:r>
      <w:r w:rsidRPr="00DA193A">
        <w:rPr>
          <w:lang w:val="en-GB"/>
        </w:rPr>
        <w:fldChar w:fldCharType="separate"/>
      </w:r>
      <w:r w:rsidR="006E374E">
        <w:rPr>
          <w:lang w:val="en-GB"/>
        </w:rPr>
        <w:t>8</w:t>
      </w:r>
      <w:r w:rsidRPr="00DA193A">
        <w:rPr>
          <w:lang w:val="en-GB"/>
        </w:rPr>
        <w:fldChar w:fldCharType="end"/>
      </w:r>
      <w:r w:rsidRPr="00DA193A">
        <w:rPr>
          <w:lang w:val="en-GB"/>
        </w:rPr>
        <w:t xml:space="preserve"> sets out compliance measures that apply </w:t>
      </w:r>
      <w:r w:rsidR="00290E18" w:rsidRPr="00DA193A">
        <w:t xml:space="preserve">to the extent </w:t>
      </w:r>
      <w:r w:rsidR="007743DC" w:rsidRPr="00DA193A">
        <w:rPr>
          <w:lang w:val="en-GB"/>
        </w:rPr>
        <w:t>online pornography, self-harm material or high-impact violence material</w:t>
      </w:r>
      <w:r w:rsidR="00290E18" w:rsidRPr="00DA193A">
        <w:t xml:space="preserve"> is </w:t>
      </w:r>
      <w:r w:rsidR="00290E18" w:rsidRPr="00DA193A">
        <w:rPr>
          <w:u w:val="single"/>
        </w:rPr>
        <w:t>not</w:t>
      </w:r>
      <w:r w:rsidR="00290E18" w:rsidRPr="00DA193A">
        <w:t xml:space="preserve"> allowed to be posted on a social media service under the applicable terms of use </w:t>
      </w:r>
      <w:r w:rsidR="00825706" w:rsidRPr="00DA193A">
        <w:t xml:space="preserve">where the service has a Tier 1 or Tier 2 risk profile for </w:t>
      </w:r>
      <w:r w:rsidR="00825706" w:rsidRPr="00DA193A">
        <w:rPr>
          <w:lang w:val="en-GB"/>
        </w:rPr>
        <w:t>online-pornography, self-harm material or high-impact violence material</w:t>
      </w:r>
      <w:r w:rsidR="000C7C5A" w:rsidRPr="00DA193A">
        <w:t>,</w:t>
      </w:r>
      <w:r w:rsidR="00825706" w:rsidRPr="00DA193A">
        <w:t xml:space="preserve"> </w:t>
      </w:r>
      <w:r w:rsidR="00825706" w:rsidRPr="00DA193A">
        <w:rPr>
          <w:lang w:val="en-GB"/>
        </w:rPr>
        <w:t>but do not apply to any messaging feature</w:t>
      </w:r>
      <w:r w:rsidR="002F65D1">
        <w:rPr>
          <w:lang w:val="en-GB"/>
        </w:rPr>
        <w:t xml:space="preserve"> </w:t>
      </w:r>
      <w:r w:rsidR="002F65D1">
        <w:t>or AI companion chatbot feature</w:t>
      </w:r>
      <w:r w:rsidRPr="00DA193A">
        <w:rPr>
          <w:lang w:val="en-GB"/>
        </w:rPr>
        <w:t xml:space="preserve">; </w:t>
      </w:r>
    </w:p>
    <w:p w14:paraId="5BDADE1E" w14:textId="77777777" w:rsidR="007223FC" w:rsidRDefault="00FC159E" w:rsidP="000D139D">
      <w:pPr>
        <w:pStyle w:val="Heading4"/>
        <w:rPr>
          <w:lang w:val="en-GB"/>
        </w:rPr>
      </w:pPr>
      <w:r w:rsidRPr="00DA193A">
        <w:rPr>
          <w:lang w:val="en-GB"/>
        </w:rPr>
        <w:t xml:space="preserve">the table in section </w:t>
      </w:r>
      <w:r w:rsidR="00290E18" w:rsidRPr="00DA193A">
        <w:rPr>
          <w:lang w:val="en-GB"/>
        </w:rPr>
        <w:fldChar w:fldCharType="begin"/>
      </w:r>
      <w:r w:rsidR="00290E18" w:rsidRPr="00DA193A">
        <w:rPr>
          <w:lang w:val="en-GB"/>
        </w:rPr>
        <w:instrText xml:space="preserve"> REF _Ref175224177 \w \h </w:instrText>
      </w:r>
      <w:r w:rsidR="00A304F2" w:rsidRPr="00DA193A">
        <w:rPr>
          <w:lang w:val="en-GB"/>
        </w:rPr>
        <w:instrText xml:space="preserve"> \* MERGEFORMAT </w:instrText>
      </w:r>
      <w:r w:rsidR="00290E18" w:rsidRPr="00DA193A">
        <w:rPr>
          <w:lang w:val="en-GB"/>
        </w:rPr>
      </w:r>
      <w:r w:rsidR="00290E18" w:rsidRPr="00DA193A">
        <w:rPr>
          <w:lang w:val="en-GB"/>
        </w:rPr>
        <w:fldChar w:fldCharType="separate"/>
      </w:r>
      <w:r w:rsidR="006E374E">
        <w:rPr>
          <w:lang w:val="en-GB"/>
        </w:rPr>
        <w:t>9</w:t>
      </w:r>
      <w:r w:rsidR="00290E18" w:rsidRPr="00DA193A">
        <w:rPr>
          <w:lang w:val="en-GB"/>
        </w:rPr>
        <w:fldChar w:fldCharType="end"/>
      </w:r>
      <w:r w:rsidRPr="00DA193A">
        <w:rPr>
          <w:lang w:val="en-GB"/>
        </w:rPr>
        <w:t xml:space="preserve"> </w:t>
      </w:r>
      <w:r w:rsidR="003C4F1D" w:rsidRPr="00DA193A">
        <w:rPr>
          <w:lang w:val="en-GB"/>
        </w:rPr>
        <w:t xml:space="preserve">sets out compliance measures that apply </w:t>
      </w:r>
      <w:r w:rsidRPr="00DA193A">
        <w:rPr>
          <w:lang w:val="en-GB"/>
        </w:rPr>
        <w:t>to all social media services</w:t>
      </w:r>
      <w:r w:rsidR="00A20233" w:rsidRPr="00DA193A">
        <w:rPr>
          <w:lang w:val="en-GB"/>
        </w:rPr>
        <w:t xml:space="preserve"> that allow </w:t>
      </w:r>
      <w:r w:rsidR="007743DC" w:rsidRPr="00DA193A">
        <w:rPr>
          <w:lang w:val="en-GB"/>
        </w:rPr>
        <w:t>online pornography, self-harm material or high-impact violence material</w:t>
      </w:r>
      <w:r w:rsidR="00A20233" w:rsidRPr="00DA193A">
        <w:t xml:space="preserve"> and to other social media services with a Tier 1 or Tier 2 risk profile for </w:t>
      </w:r>
      <w:r w:rsidR="007743DC" w:rsidRPr="00DA193A">
        <w:rPr>
          <w:lang w:val="en-GB"/>
        </w:rPr>
        <w:t>online pornography, self-harm material or high-impact violence material</w:t>
      </w:r>
      <w:r w:rsidR="000C7C5A" w:rsidRPr="00DA193A">
        <w:t>,</w:t>
      </w:r>
      <w:r w:rsidR="00825706" w:rsidRPr="00DA193A">
        <w:t xml:space="preserve"> </w:t>
      </w:r>
      <w:r w:rsidR="00825706" w:rsidRPr="00DA193A">
        <w:rPr>
          <w:lang w:val="en-GB"/>
        </w:rPr>
        <w:t>but do not apply to any messaging feature</w:t>
      </w:r>
      <w:r>
        <w:rPr>
          <w:lang w:val="en-GB"/>
        </w:rPr>
        <w:t>; and</w:t>
      </w:r>
    </w:p>
    <w:p w14:paraId="76881D28" w14:textId="77777777" w:rsidR="00656ECF" w:rsidRPr="00DA193A" w:rsidRDefault="00FC159E" w:rsidP="000D139D">
      <w:pPr>
        <w:pStyle w:val="Heading4"/>
        <w:rPr>
          <w:lang w:val="en-GB"/>
        </w:rPr>
      </w:pPr>
      <w:r>
        <w:rPr>
          <w:lang w:val="en-GB"/>
        </w:rPr>
        <w:t xml:space="preserve">the table in section </w:t>
      </w:r>
      <w:r>
        <w:rPr>
          <w:lang w:val="en-GB"/>
        </w:rPr>
        <w:fldChar w:fldCharType="begin"/>
      </w:r>
      <w:r>
        <w:rPr>
          <w:lang w:val="en-GB"/>
        </w:rPr>
        <w:instrText xml:space="preserve"> REF _Ref201330287 \w \h </w:instrText>
      </w:r>
      <w:r>
        <w:rPr>
          <w:lang w:val="en-GB"/>
        </w:rPr>
      </w:r>
      <w:r>
        <w:rPr>
          <w:lang w:val="en-GB"/>
        </w:rPr>
        <w:fldChar w:fldCharType="separate"/>
      </w:r>
      <w:r w:rsidR="006E374E">
        <w:rPr>
          <w:lang w:val="en-GB"/>
        </w:rPr>
        <w:t>10</w:t>
      </w:r>
      <w:r>
        <w:rPr>
          <w:lang w:val="en-GB"/>
        </w:rPr>
        <w:fldChar w:fldCharType="end"/>
      </w:r>
      <w:r>
        <w:rPr>
          <w:lang w:val="en-GB"/>
        </w:rPr>
        <w:t xml:space="preserve"> sets out compliance measures that apply to </w:t>
      </w:r>
      <w:r w:rsidR="00E20540">
        <w:rPr>
          <w:lang w:val="en-GB"/>
        </w:rPr>
        <w:t>AI companion chatbot feature</w:t>
      </w:r>
      <w:r>
        <w:rPr>
          <w:lang w:val="en-GB"/>
        </w:rPr>
        <w:t>s</w:t>
      </w:r>
      <w:r w:rsidR="00B13775">
        <w:rPr>
          <w:lang w:val="en-GB"/>
        </w:rPr>
        <w:t>.</w:t>
      </w:r>
      <w:r>
        <w:rPr>
          <w:lang w:val="en-GB"/>
        </w:rPr>
        <w:t xml:space="preserve"> </w:t>
      </w:r>
      <w:r w:rsidR="002F65D1">
        <w:t xml:space="preserve">These measures apply in addition to compliance measures in the table in section </w:t>
      </w:r>
      <w:r w:rsidR="002F65D1" w:rsidRPr="00DA193A">
        <w:rPr>
          <w:lang w:val="en-GB"/>
        </w:rPr>
        <w:fldChar w:fldCharType="begin"/>
      </w:r>
      <w:r w:rsidR="002F65D1" w:rsidRPr="00DA193A">
        <w:rPr>
          <w:lang w:val="en-GB"/>
        </w:rPr>
        <w:instrText xml:space="preserve"> REF _Ref175224177 \w \h  \* MERGEFORMAT </w:instrText>
      </w:r>
      <w:r w:rsidR="002F65D1" w:rsidRPr="00DA193A">
        <w:rPr>
          <w:lang w:val="en-GB"/>
        </w:rPr>
      </w:r>
      <w:r w:rsidR="002F65D1" w:rsidRPr="00DA193A">
        <w:rPr>
          <w:lang w:val="en-GB"/>
        </w:rPr>
        <w:fldChar w:fldCharType="separate"/>
      </w:r>
      <w:r w:rsidR="006E374E">
        <w:rPr>
          <w:lang w:val="en-GB"/>
        </w:rPr>
        <w:t>9</w:t>
      </w:r>
      <w:r w:rsidR="002F65D1" w:rsidRPr="00DA193A">
        <w:rPr>
          <w:lang w:val="en-GB"/>
        </w:rPr>
        <w:fldChar w:fldCharType="end"/>
      </w:r>
      <w:r w:rsidR="002F65D1">
        <w:t xml:space="preserve"> (where applicable). To the extent there is any overlap in the measures in the tables in sections </w:t>
      </w:r>
      <w:r w:rsidR="002F65D1" w:rsidRPr="00DA193A">
        <w:rPr>
          <w:lang w:val="en-GB"/>
        </w:rPr>
        <w:fldChar w:fldCharType="begin"/>
      </w:r>
      <w:r w:rsidR="002F65D1" w:rsidRPr="00DA193A">
        <w:rPr>
          <w:lang w:val="en-GB"/>
        </w:rPr>
        <w:instrText xml:space="preserve"> REF _Ref175224177 \w \h  \* MERGEFORMAT </w:instrText>
      </w:r>
      <w:r w:rsidR="002F65D1" w:rsidRPr="00DA193A">
        <w:rPr>
          <w:lang w:val="en-GB"/>
        </w:rPr>
      </w:r>
      <w:r w:rsidR="002F65D1" w:rsidRPr="00DA193A">
        <w:rPr>
          <w:lang w:val="en-GB"/>
        </w:rPr>
        <w:fldChar w:fldCharType="separate"/>
      </w:r>
      <w:r w:rsidR="006E374E">
        <w:rPr>
          <w:lang w:val="en-GB"/>
        </w:rPr>
        <w:t>9</w:t>
      </w:r>
      <w:r w:rsidR="002F65D1" w:rsidRPr="00DA193A">
        <w:rPr>
          <w:lang w:val="en-GB"/>
        </w:rPr>
        <w:fldChar w:fldCharType="end"/>
      </w:r>
      <w:r w:rsidR="002F65D1">
        <w:t xml:space="preserve"> and </w:t>
      </w:r>
      <w:r w:rsidR="002F65D1">
        <w:rPr>
          <w:lang w:val="en-GB"/>
        </w:rPr>
        <w:fldChar w:fldCharType="begin"/>
      </w:r>
      <w:r w:rsidR="002F65D1">
        <w:rPr>
          <w:lang w:val="en-GB"/>
        </w:rPr>
        <w:instrText xml:space="preserve"> REF _Ref201330287 \w \h </w:instrText>
      </w:r>
      <w:r w:rsidR="002F65D1">
        <w:rPr>
          <w:lang w:val="en-GB"/>
        </w:rPr>
      </w:r>
      <w:r w:rsidR="002F65D1">
        <w:rPr>
          <w:lang w:val="en-GB"/>
        </w:rPr>
        <w:fldChar w:fldCharType="separate"/>
      </w:r>
      <w:r w:rsidR="006E374E">
        <w:rPr>
          <w:lang w:val="en-GB"/>
        </w:rPr>
        <w:t>10</w:t>
      </w:r>
      <w:r w:rsidR="002F65D1">
        <w:rPr>
          <w:lang w:val="en-GB"/>
        </w:rPr>
        <w:fldChar w:fldCharType="end"/>
      </w:r>
      <w:r w:rsidR="002F65D1">
        <w:t>, a single action by the service provider may be sufficient to satisfy both measures.</w:t>
      </w:r>
    </w:p>
    <w:p w14:paraId="5ED375D3" w14:textId="77777777" w:rsidR="005D2E14" w:rsidRPr="00DA193A" w:rsidRDefault="00FC159E">
      <w:pPr>
        <w:pStyle w:val="Heading3"/>
        <w:rPr>
          <w:lang w:val="en-GB"/>
        </w:rPr>
      </w:pPr>
      <w:r w:rsidRPr="00DA193A">
        <w:rPr>
          <w:lang w:val="en-GB"/>
        </w:rPr>
        <w:t>The tables also include guidance on the implementation of some measures. This guidance is not intended to be binding on providers but to guide them on the way in which they may choose to implement a measure.</w:t>
      </w:r>
    </w:p>
    <w:p w14:paraId="715C07E0" w14:textId="77777777" w:rsidR="003E09F1" w:rsidRDefault="00FC159E">
      <w:pPr>
        <w:pStyle w:val="Heading3"/>
        <w:keepNext/>
        <w:rPr>
          <w:lang w:val="en-GB"/>
        </w:rPr>
      </w:pPr>
      <w:r w:rsidRPr="00DA193A">
        <w:rPr>
          <w:lang w:val="en-GB"/>
        </w:rPr>
        <w:t xml:space="preserve">Certain compliance measures only apply to certain </w:t>
      </w:r>
      <w:r w:rsidR="00E66C03" w:rsidRPr="00DA193A">
        <w:rPr>
          <w:lang w:val="en-GB"/>
        </w:rPr>
        <w:t>categories of material</w:t>
      </w:r>
      <w:r w:rsidR="002B1E38" w:rsidRPr="00DA193A">
        <w:rPr>
          <w:lang w:val="en-GB"/>
        </w:rPr>
        <w:t xml:space="preserve"> (as specified in the column titled </w:t>
      </w:r>
      <w:r w:rsidR="00173F24" w:rsidRPr="00DA193A">
        <w:rPr>
          <w:lang w:val="en-GB"/>
        </w:rPr>
        <w:t>‘Material’</w:t>
      </w:r>
      <w:r w:rsidR="002B1E38" w:rsidRPr="00DA193A">
        <w:rPr>
          <w:lang w:val="en-GB"/>
        </w:rPr>
        <w:t xml:space="preserve">) or to service providers who meet a certain risk profile </w:t>
      </w:r>
      <w:r w:rsidR="007F03B4" w:rsidRPr="00DA193A">
        <w:rPr>
          <w:lang w:val="en-GB"/>
        </w:rPr>
        <w:t xml:space="preserve">in relation to a designated category of material </w:t>
      </w:r>
      <w:r w:rsidR="002B1E38" w:rsidRPr="00DA193A">
        <w:rPr>
          <w:lang w:val="en-GB"/>
        </w:rPr>
        <w:t xml:space="preserve">(as specified in the column titled </w:t>
      </w:r>
      <w:r w:rsidR="00173F24" w:rsidRPr="00DA193A">
        <w:rPr>
          <w:lang w:val="en-GB"/>
        </w:rPr>
        <w:t>‘Risk Tier’</w:t>
      </w:r>
      <w:r w:rsidR="002B1E38" w:rsidRPr="00DA193A">
        <w:rPr>
          <w:lang w:val="en-GB"/>
        </w:rPr>
        <w:t>)</w:t>
      </w:r>
      <w:r w:rsidRPr="00DA193A">
        <w:rPr>
          <w:lang w:val="en-GB"/>
        </w:rPr>
        <w:t xml:space="preserve">, as specified in the relevant table. </w:t>
      </w:r>
    </w:p>
    <w:p w14:paraId="72A70F9D" w14:textId="77777777" w:rsidR="002F65D1" w:rsidRPr="00295330" w:rsidRDefault="00FC159E" w:rsidP="002F65D1">
      <w:pPr>
        <w:pStyle w:val="Heading3"/>
        <w:keepNext/>
        <w:numPr>
          <w:ilvl w:val="0"/>
          <w:numId w:val="0"/>
        </w:numPr>
        <w:ind w:left="1474"/>
        <w:rPr>
          <w:sz w:val="18"/>
          <w:szCs w:val="18"/>
          <w:lang w:val="en-GB"/>
        </w:rPr>
      </w:pPr>
      <w:r w:rsidRPr="002922DA">
        <w:rPr>
          <w:sz w:val="16"/>
          <w:szCs w:val="16"/>
          <w:u w:val="single"/>
        </w:rPr>
        <w:t>Note</w:t>
      </w:r>
      <w:r w:rsidRPr="002922DA">
        <w:rPr>
          <w:sz w:val="16"/>
          <w:szCs w:val="16"/>
        </w:rPr>
        <w:t>: A service provider may have a different risk profile in respect of different categories of material. For example, an AI companion chatbot feature may have a Tier 1 risk profile for online pornography but a Tier 2 or Tier 3 risk profile for all other generative AI restricted categories. In that case, the Tier 1 compliance measures for the AI companion chatbot feature will only apply in relation to online pornography.</w:t>
      </w:r>
    </w:p>
    <w:p w14:paraId="0E0EE1F7" w14:textId="77777777" w:rsidR="00921226" w:rsidRPr="00DA193A" w:rsidRDefault="00921226" w:rsidP="00417916">
      <w:pPr>
        <w:pStyle w:val="Heading3"/>
        <w:keepNext/>
        <w:numPr>
          <w:ilvl w:val="0"/>
          <w:numId w:val="0"/>
        </w:numPr>
        <w:ind w:left="1474"/>
        <w:rPr>
          <w:sz w:val="16"/>
          <w:szCs w:val="16"/>
          <w:lang w:val="en-GB"/>
        </w:rPr>
      </w:pPr>
    </w:p>
    <w:p w14:paraId="6BFF71CE" w14:textId="77777777" w:rsidR="00417916" w:rsidRPr="00DA193A" w:rsidRDefault="00417916">
      <w:pPr>
        <w:pStyle w:val="Indent2"/>
        <w:sectPr w:rsidR="00417916" w:rsidRPr="00DA193A" w:rsidSect="00435FC7">
          <w:headerReference w:type="default" r:id="rId14"/>
          <w:footerReference w:type="default" r:id="rId15"/>
          <w:pgSz w:w="11906" w:h="16838" w:code="9"/>
          <w:pgMar w:top="1440" w:right="1080" w:bottom="1440" w:left="1080" w:header="425" w:footer="425" w:gutter="0"/>
          <w:cols w:space="720"/>
          <w:docGrid w:linePitch="272"/>
        </w:sectPr>
      </w:pPr>
    </w:p>
    <w:p w14:paraId="41BDEB10" w14:textId="77777777" w:rsidR="005D2E14" w:rsidRPr="00DA193A" w:rsidRDefault="00FC159E">
      <w:pPr>
        <w:pStyle w:val="Heading1"/>
        <w:tabs>
          <w:tab w:val="clear" w:pos="737"/>
        </w:tabs>
        <w:rPr>
          <w:lang w:val="en-GB"/>
        </w:rPr>
      </w:pPr>
      <w:bookmarkStart w:id="40" w:name="_Ref172285604"/>
      <w:bookmarkStart w:id="41" w:name="_Ref173404098"/>
      <w:bookmarkStart w:id="42" w:name="_Ref173404089"/>
      <w:r w:rsidRPr="00DA193A">
        <w:rPr>
          <w:lang w:val="en-GB"/>
        </w:rPr>
        <w:t xml:space="preserve">Compliance measures </w:t>
      </w:r>
      <w:bookmarkEnd w:id="40"/>
      <w:r w:rsidR="003726E2" w:rsidRPr="00DA193A">
        <w:rPr>
          <w:lang w:val="en-GB"/>
        </w:rPr>
        <w:t xml:space="preserve">where </w:t>
      </w:r>
      <w:r w:rsidR="007743DC" w:rsidRPr="00DA193A">
        <w:rPr>
          <w:lang w:val="en-GB"/>
        </w:rPr>
        <w:t xml:space="preserve">online pornography, self-harm material or high-impact violence material </w:t>
      </w:r>
      <w:r w:rsidR="003726E2" w:rsidRPr="00DA193A">
        <w:rPr>
          <w:lang w:val="en-GB"/>
        </w:rPr>
        <w:t>is allowed</w:t>
      </w:r>
      <w:bookmarkEnd w:id="41"/>
      <w:bookmarkEnd w:id="42"/>
    </w:p>
    <w:p w14:paraId="2DEFAF23" w14:textId="77777777" w:rsidR="00532558" w:rsidRPr="00DA193A" w:rsidRDefault="00FC159E" w:rsidP="000F2DD2">
      <w:pPr>
        <w:spacing w:before="120" w:after="120"/>
      </w:pPr>
      <w:r w:rsidRPr="00DA193A">
        <w:t xml:space="preserve">The compliance measures in this table apply </w:t>
      </w:r>
      <w:r w:rsidR="000F2DD2" w:rsidRPr="00DA193A">
        <w:t xml:space="preserve">to the extent </w:t>
      </w:r>
      <w:r w:rsidR="007743DC" w:rsidRPr="00DA193A">
        <w:t>online pornography, self-harm material or high-impact violence material</w:t>
      </w:r>
      <w:r w:rsidR="000F2DD2" w:rsidRPr="00DA193A">
        <w:t xml:space="preserve"> is allowed to be posted on </w:t>
      </w:r>
      <w:r w:rsidR="00AE2552" w:rsidRPr="00DA193A">
        <w:t>a</w:t>
      </w:r>
      <w:r w:rsidR="000F2DD2" w:rsidRPr="00DA193A">
        <w:t xml:space="preserve"> social media service under the applicable terms of use</w:t>
      </w:r>
      <w:r w:rsidR="001E7D19" w:rsidRPr="00DA193A">
        <w:rPr>
          <w:lang w:val="en-GB"/>
        </w:rPr>
        <w:t>, b</w:t>
      </w:r>
      <w:r w:rsidR="00825706" w:rsidRPr="00DA193A">
        <w:rPr>
          <w:lang w:val="en-GB"/>
        </w:rPr>
        <w:t>ut do not apply to any messaging feature</w:t>
      </w:r>
      <w:r w:rsidR="002F65D1">
        <w:rPr>
          <w:lang w:val="en-GB"/>
        </w:rPr>
        <w:t xml:space="preserve"> or any AI companion chatbot feature</w:t>
      </w:r>
      <w:r w:rsidR="002D0F29" w:rsidRPr="00DA193A">
        <w:t xml:space="preserve">. Each measure applies to the type of </w:t>
      </w:r>
      <w:r w:rsidR="00CC2B42" w:rsidRPr="00DA193A">
        <w:t xml:space="preserve">class 1C and class 2 </w:t>
      </w:r>
      <w:r w:rsidR="002D0F29" w:rsidRPr="00DA193A">
        <w:t>material specified in the ‘Material’ column</w:t>
      </w:r>
      <w:r w:rsidR="00351CEE" w:rsidRPr="00DA193A">
        <w:t xml:space="preserve"> for that measure</w:t>
      </w:r>
      <w:r w:rsidR="000F2DD2" w:rsidRPr="00DA193A">
        <w:t>.</w:t>
      </w:r>
    </w:p>
    <w:tbl>
      <w:tblPr>
        <w:tblStyle w:val="TableGrid"/>
        <w:tblW w:w="5000" w:type="pct"/>
        <w:tblLook w:val="04A0" w:firstRow="1" w:lastRow="0" w:firstColumn="1" w:lastColumn="0" w:noHBand="0" w:noVBand="1"/>
      </w:tblPr>
      <w:tblGrid>
        <w:gridCol w:w="1916"/>
        <w:gridCol w:w="2140"/>
        <w:gridCol w:w="9892"/>
      </w:tblGrid>
      <w:tr w:rsidR="00367724" w14:paraId="0C631B38" w14:textId="77777777" w:rsidTr="00826FAD">
        <w:trPr>
          <w:tblHeader/>
        </w:trPr>
        <w:tc>
          <w:tcPr>
            <w:tcW w:w="687" w:type="pct"/>
            <w:shd w:val="clear" w:color="auto" w:fill="000000" w:themeFill="text1"/>
          </w:tcPr>
          <w:p w14:paraId="5F1EA1E3" w14:textId="77777777" w:rsidR="002E0BC2" w:rsidRPr="00DA193A" w:rsidRDefault="00FC159E">
            <w:pPr>
              <w:spacing w:before="120" w:after="120"/>
              <w:jc w:val="center"/>
              <w:rPr>
                <w:rFonts w:ascii="Arial" w:hAnsi="Arial" w:cs="Arial"/>
                <w:b/>
                <w:bCs/>
                <w:color w:val="FFFFFF" w:themeColor="background1"/>
              </w:rPr>
            </w:pPr>
            <w:r w:rsidRPr="00DA193A">
              <w:rPr>
                <w:rFonts w:ascii="Arial" w:hAnsi="Arial" w:cs="Arial"/>
                <w:b/>
                <w:bCs/>
                <w:color w:val="FFFFFF" w:themeColor="background1"/>
              </w:rPr>
              <w:t>No.</w:t>
            </w:r>
          </w:p>
        </w:tc>
        <w:tc>
          <w:tcPr>
            <w:tcW w:w="767" w:type="pct"/>
            <w:shd w:val="clear" w:color="auto" w:fill="000000" w:themeFill="text1"/>
          </w:tcPr>
          <w:p w14:paraId="353568F1" w14:textId="77777777" w:rsidR="002E0BC2" w:rsidRPr="00DA193A" w:rsidRDefault="00FC159E">
            <w:pPr>
              <w:spacing w:before="120" w:after="120"/>
              <w:jc w:val="center"/>
              <w:rPr>
                <w:rFonts w:ascii="Arial" w:hAnsi="Arial" w:cs="Arial"/>
                <w:b/>
                <w:bCs/>
                <w:color w:val="FFFFFF" w:themeColor="background1"/>
              </w:rPr>
            </w:pPr>
            <w:r w:rsidRPr="00DA193A">
              <w:rPr>
                <w:rFonts w:ascii="Arial" w:hAnsi="Arial" w:cs="Arial"/>
                <w:b/>
                <w:bCs/>
                <w:color w:val="FFFFFF" w:themeColor="background1"/>
              </w:rPr>
              <w:t>Material</w:t>
            </w:r>
          </w:p>
        </w:tc>
        <w:tc>
          <w:tcPr>
            <w:tcW w:w="3546" w:type="pct"/>
            <w:shd w:val="clear" w:color="auto" w:fill="000000" w:themeFill="text1"/>
          </w:tcPr>
          <w:p w14:paraId="5D07B978" w14:textId="77777777" w:rsidR="002E0BC2" w:rsidRPr="00DA193A" w:rsidRDefault="00FC159E">
            <w:pPr>
              <w:spacing w:before="120" w:after="120"/>
              <w:rPr>
                <w:rFonts w:ascii="Arial" w:hAnsi="Arial" w:cs="Arial"/>
                <w:b/>
                <w:bCs/>
                <w:color w:val="FFFFFF" w:themeColor="background1"/>
              </w:rPr>
            </w:pPr>
            <w:r w:rsidRPr="00DA193A">
              <w:rPr>
                <w:rFonts w:ascii="Arial" w:hAnsi="Arial" w:cs="Arial"/>
                <w:b/>
                <w:bCs/>
                <w:color w:val="FFFFFF" w:themeColor="background1"/>
              </w:rPr>
              <w:t>Compliance measure</w:t>
            </w:r>
          </w:p>
        </w:tc>
      </w:tr>
      <w:tr w:rsidR="00367724" w14:paraId="66043F5D" w14:textId="77777777" w:rsidTr="00826FAD">
        <w:tc>
          <w:tcPr>
            <w:tcW w:w="687" w:type="pct"/>
            <w:shd w:val="clear" w:color="auto" w:fill="FFFFFF" w:themeFill="background1"/>
          </w:tcPr>
          <w:p w14:paraId="5117F907" w14:textId="77777777" w:rsidR="002E0BC2" w:rsidRPr="00DA193A" w:rsidRDefault="00FC159E" w:rsidP="002E0BC2">
            <w:pPr>
              <w:spacing w:before="120" w:after="120"/>
              <w:jc w:val="center"/>
              <w:rPr>
                <w:rFonts w:ascii="Arial" w:hAnsi="Arial" w:cs="Arial"/>
              </w:rPr>
            </w:pPr>
            <w:r w:rsidRPr="00DA193A">
              <w:rPr>
                <w:rFonts w:ascii="Arial" w:hAnsi="Arial" w:cs="Arial"/>
              </w:rPr>
              <w:t>7.1</w:t>
            </w:r>
          </w:p>
        </w:tc>
        <w:tc>
          <w:tcPr>
            <w:tcW w:w="767" w:type="pct"/>
            <w:shd w:val="clear" w:color="auto" w:fill="FFFFFF" w:themeFill="background1"/>
          </w:tcPr>
          <w:p w14:paraId="1FB95889" w14:textId="77777777" w:rsidR="002E0BC2" w:rsidRPr="00DA193A" w:rsidRDefault="00FC159E" w:rsidP="002E0BC2">
            <w:pPr>
              <w:spacing w:before="120" w:after="120"/>
              <w:jc w:val="center"/>
              <w:rPr>
                <w:rFonts w:ascii="Arial" w:hAnsi="Arial" w:cs="Arial"/>
              </w:rPr>
            </w:pPr>
            <w:r w:rsidRPr="00DA193A">
              <w:rPr>
                <w:rFonts w:ascii="Arial" w:hAnsi="Arial" w:cs="Arial"/>
              </w:rPr>
              <w:t xml:space="preserve">online pornography </w:t>
            </w:r>
          </w:p>
          <w:p w14:paraId="24865531" w14:textId="77777777" w:rsidR="00081CBD" w:rsidRPr="00DA193A" w:rsidRDefault="00FC159E" w:rsidP="002E0BC2">
            <w:pPr>
              <w:spacing w:before="120" w:after="120"/>
              <w:jc w:val="center"/>
              <w:rPr>
                <w:rFonts w:ascii="Arial" w:hAnsi="Arial" w:cs="Arial"/>
              </w:rPr>
            </w:pPr>
            <w:r w:rsidRPr="00DA193A">
              <w:rPr>
                <w:rFonts w:ascii="Arial" w:hAnsi="Arial" w:cs="Arial"/>
              </w:rPr>
              <w:t>self-harm material</w:t>
            </w:r>
          </w:p>
        </w:tc>
        <w:tc>
          <w:tcPr>
            <w:tcW w:w="3546" w:type="pct"/>
            <w:shd w:val="clear" w:color="auto" w:fill="FFFFFF" w:themeFill="background1"/>
          </w:tcPr>
          <w:p w14:paraId="507EEEF9" w14:textId="77777777" w:rsidR="002E0BC2" w:rsidRPr="00DA193A" w:rsidRDefault="00FC159E" w:rsidP="002E0BC2">
            <w:pPr>
              <w:tabs>
                <w:tab w:val="left" w:pos="9243"/>
              </w:tabs>
              <w:spacing w:before="120" w:after="120"/>
              <w:rPr>
                <w:rFonts w:ascii="Arial" w:hAnsi="Arial" w:cs="Arial"/>
                <w:b/>
                <w:bCs/>
              </w:rPr>
            </w:pPr>
            <w:r w:rsidRPr="00DA193A">
              <w:rPr>
                <w:rFonts w:ascii="Arial" w:hAnsi="Arial" w:cs="Arial"/>
                <w:b/>
                <w:bCs/>
              </w:rPr>
              <w:t xml:space="preserve">Age assurance measures </w:t>
            </w:r>
          </w:p>
          <w:p w14:paraId="30A2ACCF" w14:textId="77777777" w:rsidR="002E0BC2" w:rsidRPr="00DA193A" w:rsidRDefault="00FC159E" w:rsidP="002E0BC2">
            <w:pPr>
              <w:tabs>
                <w:tab w:val="left" w:pos="9243"/>
              </w:tabs>
              <w:spacing w:before="120" w:after="120"/>
              <w:rPr>
                <w:rFonts w:ascii="Arial" w:hAnsi="Arial" w:cs="Arial"/>
              </w:rPr>
            </w:pPr>
            <w:r w:rsidRPr="00DA193A">
              <w:rPr>
                <w:rFonts w:ascii="Arial" w:hAnsi="Arial" w:cs="Arial"/>
              </w:rPr>
              <w:t xml:space="preserve">A service provider must, </w:t>
            </w:r>
            <w:r w:rsidR="00F61B3B" w:rsidRPr="00DA193A">
              <w:rPr>
                <w:rFonts w:ascii="Arial" w:hAnsi="Arial" w:cs="Arial"/>
              </w:rPr>
              <w:t xml:space="preserve">where </w:t>
            </w:r>
            <w:r w:rsidRPr="00DA193A">
              <w:rPr>
                <w:rFonts w:ascii="Arial" w:hAnsi="Arial" w:cs="Arial"/>
              </w:rPr>
              <w:t>technically feasible and reasonably practicable, implement:</w:t>
            </w:r>
          </w:p>
          <w:p w14:paraId="6BCC5FAE" w14:textId="77777777" w:rsidR="002E0BC2" w:rsidRPr="00DA193A" w:rsidRDefault="00FC159E" w:rsidP="002E0BC2">
            <w:pPr>
              <w:tabs>
                <w:tab w:val="left" w:pos="705"/>
              </w:tabs>
              <w:spacing w:before="120" w:after="120"/>
              <w:rPr>
                <w:rFonts w:ascii="Arial" w:hAnsi="Arial" w:cs="Arial"/>
              </w:rPr>
            </w:pPr>
            <w:r w:rsidRPr="00DA193A">
              <w:rPr>
                <w:rFonts w:ascii="Arial" w:hAnsi="Arial" w:cs="Arial"/>
              </w:rPr>
              <w:t>(a)</w:t>
            </w:r>
            <w:r w:rsidRPr="00DA193A">
              <w:rPr>
                <w:rFonts w:ascii="Arial" w:hAnsi="Arial" w:cs="Arial"/>
              </w:rPr>
              <w:tab/>
            </w:r>
            <w:r w:rsidRPr="00DA193A">
              <w:rPr>
                <w:rFonts w:ascii="Arial" w:hAnsi="Arial" w:cs="Arial"/>
              </w:rPr>
              <w:t>appropriate age assurance measures; and</w:t>
            </w:r>
          </w:p>
          <w:p w14:paraId="1A7F984A" w14:textId="77777777" w:rsidR="002E0BC2" w:rsidRPr="00DA193A" w:rsidRDefault="00FC159E" w:rsidP="002E0BC2">
            <w:pPr>
              <w:tabs>
                <w:tab w:val="left" w:pos="705"/>
              </w:tabs>
              <w:spacing w:before="120" w:after="120"/>
              <w:rPr>
                <w:rFonts w:ascii="Arial" w:hAnsi="Arial" w:cs="Arial"/>
              </w:rPr>
            </w:pPr>
            <w:r w:rsidRPr="00DA193A">
              <w:rPr>
                <w:rFonts w:ascii="Arial" w:hAnsi="Arial" w:cs="Arial"/>
              </w:rPr>
              <w:t>(b)</w:t>
            </w:r>
            <w:r w:rsidRPr="00DA193A">
              <w:rPr>
                <w:rFonts w:ascii="Arial" w:hAnsi="Arial" w:cs="Arial"/>
              </w:rPr>
              <w:tab/>
              <w:t>access control measures,</w:t>
            </w:r>
          </w:p>
          <w:p w14:paraId="2C020EF3" w14:textId="77777777" w:rsidR="002E0BC2" w:rsidRPr="00DA193A" w:rsidRDefault="00FC159E" w:rsidP="003805B0">
            <w:pPr>
              <w:tabs>
                <w:tab w:val="left" w:pos="9243"/>
              </w:tabs>
              <w:spacing w:before="120" w:after="120"/>
              <w:rPr>
                <w:rFonts w:ascii="Arial" w:hAnsi="Arial" w:cs="Arial"/>
                <w:b/>
                <w:bCs/>
              </w:rPr>
            </w:pPr>
            <w:r w:rsidRPr="00DA193A">
              <w:rPr>
                <w:rFonts w:ascii="Arial" w:hAnsi="Arial" w:cs="Arial"/>
              </w:rPr>
              <w:t>before providing access to online pornography and/or self-harm material.</w:t>
            </w:r>
            <w:r w:rsidR="000324DA">
              <w:rPr>
                <w:rFonts w:ascii="Arial" w:hAnsi="Arial" w:cs="Arial"/>
              </w:rPr>
              <w:t xml:space="preserve"> </w:t>
            </w:r>
            <w:r w:rsidR="000324DA" w:rsidRPr="000324DA">
              <w:rPr>
                <w:rFonts w:ascii="Arial" w:hAnsi="Arial" w:cs="Arial"/>
              </w:rPr>
              <w:t xml:space="preserve">A service provider must also take appropriate steps to test and monitor </w:t>
            </w:r>
            <w:r w:rsidR="000324DA">
              <w:rPr>
                <w:rFonts w:ascii="Arial" w:hAnsi="Arial" w:cs="Arial"/>
              </w:rPr>
              <w:t xml:space="preserve">the </w:t>
            </w:r>
            <w:r w:rsidR="000324DA" w:rsidRPr="000324DA">
              <w:rPr>
                <w:rFonts w:ascii="Arial" w:hAnsi="Arial" w:cs="Arial"/>
              </w:rPr>
              <w:t xml:space="preserve">effectiveness of </w:t>
            </w:r>
            <w:r w:rsidR="000324DA">
              <w:rPr>
                <w:rFonts w:ascii="Arial" w:hAnsi="Arial" w:cs="Arial"/>
              </w:rPr>
              <w:t xml:space="preserve">its </w:t>
            </w:r>
            <w:r w:rsidR="000324DA" w:rsidRPr="000324DA">
              <w:rPr>
                <w:rFonts w:ascii="Arial" w:hAnsi="Arial" w:cs="Arial"/>
              </w:rPr>
              <w:t xml:space="preserve">age assurance </w:t>
            </w:r>
            <w:r w:rsidR="000324DA">
              <w:rPr>
                <w:rFonts w:ascii="Arial" w:hAnsi="Arial" w:cs="Arial"/>
              </w:rPr>
              <w:t xml:space="preserve">and access control measures </w:t>
            </w:r>
            <w:r w:rsidR="000324DA" w:rsidRPr="000324DA">
              <w:rPr>
                <w:rFonts w:ascii="Arial" w:hAnsi="Arial" w:cs="Arial"/>
              </w:rPr>
              <w:t>over time.</w:t>
            </w:r>
          </w:p>
        </w:tc>
      </w:tr>
      <w:tr w:rsidR="00367724" w14:paraId="258D2AB6" w14:textId="77777777" w:rsidTr="00826FAD">
        <w:tc>
          <w:tcPr>
            <w:tcW w:w="687" w:type="pct"/>
            <w:shd w:val="clear" w:color="auto" w:fill="FFFFFF" w:themeFill="background1"/>
          </w:tcPr>
          <w:p w14:paraId="4BFFD0BD" w14:textId="77777777" w:rsidR="002E0BC2" w:rsidRPr="00DA193A" w:rsidRDefault="00FC159E" w:rsidP="002E0BC2">
            <w:pPr>
              <w:spacing w:before="120" w:after="120"/>
              <w:jc w:val="center"/>
              <w:rPr>
                <w:rFonts w:ascii="Arial" w:hAnsi="Arial" w:cs="Arial"/>
              </w:rPr>
            </w:pPr>
            <w:r w:rsidRPr="00DA193A">
              <w:rPr>
                <w:rFonts w:ascii="Arial" w:hAnsi="Arial" w:cs="Arial"/>
              </w:rPr>
              <w:t>7.</w:t>
            </w:r>
            <w:r w:rsidR="002440BC" w:rsidRPr="00DA193A">
              <w:rPr>
                <w:rFonts w:ascii="Arial" w:hAnsi="Arial" w:cs="Arial"/>
              </w:rPr>
              <w:t>2</w:t>
            </w:r>
          </w:p>
        </w:tc>
        <w:tc>
          <w:tcPr>
            <w:tcW w:w="767" w:type="pct"/>
            <w:shd w:val="clear" w:color="auto" w:fill="FFFFFF" w:themeFill="background1"/>
          </w:tcPr>
          <w:p w14:paraId="2FF7C977" w14:textId="77777777" w:rsidR="002E0BC2" w:rsidRPr="00DA193A" w:rsidRDefault="00FC159E" w:rsidP="002E0BC2">
            <w:pPr>
              <w:spacing w:before="120" w:after="120"/>
              <w:jc w:val="center"/>
              <w:rPr>
                <w:rFonts w:ascii="Arial" w:hAnsi="Arial" w:cs="Arial"/>
              </w:rPr>
            </w:pPr>
            <w:r w:rsidRPr="00DA193A">
              <w:rPr>
                <w:rFonts w:ascii="Arial" w:hAnsi="Arial" w:cs="Arial"/>
              </w:rPr>
              <w:t>online pornography</w:t>
            </w:r>
          </w:p>
          <w:p w14:paraId="4FF895CC" w14:textId="77777777" w:rsidR="002E0BC2" w:rsidRPr="00DA193A" w:rsidRDefault="00FC159E" w:rsidP="002E0BC2">
            <w:pPr>
              <w:spacing w:before="120" w:after="120"/>
              <w:jc w:val="center"/>
              <w:rPr>
                <w:rFonts w:ascii="Arial" w:hAnsi="Arial" w:cs="Arial"/>
              </w:rPr>
            </w:pPr>
            <w:r w:rsidRPr="00DA193A">
              <w:rPr>
                <w:rFonts w:ascii="Arial" w:hAnsi="Arial" w:cs="Arial"/>
              </w:rPr>
              <w:t>self-harm material</w:t>
            </w:r>
          </w:p>
          <w:p w14:paraId="0E979C76" w14:textId="77777777" w:rsidR="007743DC" w:rsidRPr="00DA193A" w:rsidRDefault="00FC159E" w:rsidP="002E0BC2">
            <w:pPr>
              <w:spacing w:before="120" w:after="120"/>
              <w:jc w:val="center"/>
              <w:rPr>
                <w:rFonts w:ascii="Arial" w:hAnsi="Arial" w:cs="Arial"/>
              </w:rPr>
            </w:pPr>
            <w:r w:rsidRPr="00DA193A">
              <w:rPr>
                <w:rFonts w:ascii="Arial" w:hAnsi="Arial" w:cs="Arial"/>
              </w:rPr>
              <w:t>high-impact violence material</w:t>
            </w:r>
          </w:p>
        </w:tc>
        <w:tc>
          <w:tcPr>
            <w:tcW w:w="3546" w:type="pct"/>
            <w:shd w:val="clear" w:color="auto" w:fill="FFFFFF" w:themeFill="background1"/>
          </w:tcPr>
          <w:p w14:paraId="695A1D2D" w14:textId="77777777" w:rsidR="002E0BC2" w:rsidRPr="00DA193A" w:rsidRDefault="00FC159E" w:rsidP="002E0BC2">
            <w:pPr>
              <w:spacing w:before="120" w:after="120"/>
              <w:rPr>
                <w:rFonts w:ascii="Arial" w:hAnsi="Arial" w:cs="Arial"/>
                <w:b/>
                <w:bCs/>
              </w:rPr>
            </w:pPr>
            <w:r w:rsidRPr="00DA193A">
              <w:rPr>
                <w:rFonts w:ascii="Arial" w:hAnsi="Arial" w:cs="Arial"/>
                <w:b/>
                <w:bCs/>
              </w:rPr>
              <w:t>Safety tools</w:t>
            </w:r>
          </w:p>
          <w:p w14:paraId="411E3E09" w14:textId="77777777" w:rsidR="00D445AB" w:rsidRDefault="00FC159E" w:rsidP="002E0BC2">
            <w:pPr>
              <w:spacing w:before="120" w:after="120"/>
              <w:rPr>
                <w:rFonts w:ascii="Arial" w:hAnsi="Arial" w:cs="Arial"/>
              </w:rPr>
            </w:pPr>
            <w:r w:rsidRPr="00DA193A">
              <w:rPr>
                <w:rFonts w:ascii="Arial" w:hAnsi="Arial" w:cs="Arial"/>
              </w:rPr>
              <w:t xml:space="preserve">Except where the </w:t>
            </w:r>
            <w:r w:rsidR="0067560B" w:rsidRPr="00DA193A">
              <w:rPr>
                <w:rFonts w:ascii="Arial" w:hAnsi="Arial" w:cs="Arial"/>
              </w:rPr>
              <w:t>primary</w:t>
            </w:r>
            <w:r w:rsidRPr="00DA193A">
              <w:rPr>
                <w:rFonts w:ascii="Arial" w:hAnsi="Arial" w:cs="Arial"/>
              </w:rPr>
              <w:t xml:space="preserve"> purpose of the service is to provide access to online pornography</w:t>
            </w:r>
            <w:r w:rsidR="0051265F" w:rsidRPr="00DA193A">
              <w:rPr>
                <w:rFonts w:ascii="Arial" w:hAnsi="Arial" w:cs="Arial"/>
              </w:rPr>
              <w:t>,</w:t>
            </w:r>
            <w:r w:rsidRPr="00DA193A">
              <w:rPr>
                <w:rFonts w:ascii="Arial" w:hAnsi="Arial" w:cs="Arial"/>
              </w:rPr>
              <w:t xml:space="preserve"> self-harm material</w:t>
            </w:r>
            <w:r w:rsidR="0051265F" w:rsidRPr="00DA193A">
              <w:rPr>
                <w:rFonts w:ascii="Arial" w:hAnsi="Arial" w:cs="Arial"/>
              </w:rPr>
              <w:t xml:space="preserve"> and/or high-impact violence material</w:t>
            </w:r>
            <w:r w:rsidRPr="00DA193A">
              <w:rPr>
                <w:rFonts w:ascii="Arial" w:hAnsi="Arial" w:cs="Arial"/>
              </w:rPr>
              <w:t xml:space="preserve">, a service provider must </w:t>
            </w:r>
            <w:r>
              <w:rPr>
                <w:rFonts w:ascii="Arial" w:hAnsi="Arial" w:cs="Arial"/>
              </w:rPr>
              <w:t xml:space="preserve">provide </w:t>
            </w:r>
            <w:r w:rsidR="00604386" w:rsidRPr="00DA193A">
              <w:rPr>
                <w:rFonts w:ascii="Arial" w:hAnsi="Arial" w:cs="Arial"/>
              </w:rPr>
              <w:t xml:space="preserve">appropriate </w:t>
            </w:r>
            <w:r w:rsidRPr="00DA193A">
              <w:rPr>
                <w:rFonts w:ascii="Arial" w:hAnsi="Arial" w:cs="Arial"/>
              </w:rPr>
              <w:t xml:space="preserve">safety tools </w:t>
            </w:r>
            <w:r>
              <w:rPr>
                <w:rFonts w:ascii="Arial" w:hAnsi="Arial" w:cs="Arial"/>
              </w:rPr>
              <w:t xml:space="preserve">to Australian end-users </w:t>
            </w:r>
            <w:r w:rsidRPr="00DA193A">
              <w:rPr>
                <w:rFonts w:ascii="Arial" w:hAnsi="Arial" w:cs="Arial"/>
              </w:rPr>
              <w:t>which may limit their access or exposure to online pornography</w:t>
            </w:r>
            <w:r w:rsidR="004444EE" w:rsidRPr="00DA193A">
              <w:rPr>
                <w:rFonts w:ascii="Arial" w:hAnsi="Arial" w:cs="Arial"/>
              </w:rPr>
              <w:t>, self-harm material and/or high-impact violence material</w:t>
            </w:r>
            <w:r w:rsidRPr="00DA193A">
              <w:rPr>
                <w:rFonts w:ascii="Arial" w:hAnsi="Arial" w:cs="Arial"/>
              </w:rPr>
              <w:t xml:space="preserve"> on the service and are appropriate for the service. </w:t>
            </w:r>
            <w:r w:rsidRPr="00D445AB">
              <w:rPr>
                <w:rFonts w:ascii="Arial" w:hAnsi="Arial" w:cs="Arial"/>
              </w:rPr>
              <w:t>The service provider must ensure that such safety tools are defaulted to an appropriate setting for Australian child end-users in rela</w:t>
            </w:r>
            <w:r w:rsidRPr="00D445AB">
              <w:rPr>
                <w:rFonts w:ascii="Arial" w:hAnsi="Arial" w:cs="Arial"/>
              </w:rPr>
              <w:t>tion to high-impact violence material, but can otherwise provide such tools to Australian end-users on an opt-in basis.</w:t>
            </w:r>
          </w:p>
          <w:p w14:paraId="403EAE52" w14:textId="77777777" w:rsidR="002E0BC2" w:rsidRPr="00DA193A" w:rsidRDefault="00FC159E" w:rsidP="002E0BC2">
            <w:pPr>
              <w:spacing w:before="120" w:after="120"/>
              <w:rPr>
                <w:rFonts w:ascii="Arial" w:hAnsi="Arial" w:cs="Arial"/>
              </w:rPr>
            </w:pPr>
            <w:r w:rsidRPr="00DA193A">
              <w:rPr>
                <w:rFonts w:ascii="Arial" w:hAnsi="Arial" w:cs="Arial"/>
              </w:rPr>
              <w:t>Appropriate safety tools may include solutions for:</w:t>
            </w:r>
          </w:p>
          <w:p w14:paraId="3FB24B78" w14:textId="77777777" w:rsidR="007852BA" w:rsidRPr="00DA193A" w:rsidRDefault="00FC159E" w:rsidP="007852BA">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implementing age-gates</w:t>
            </w:r>
            <w:r w:rsidR="00E54C51" w:rsidRPr="00DA193A">
              <w:rPr>
                <w:rFonts w:ascii="Arial" w:hAnsi="Arial" w:cs="Arial"/>
              </w:rPr>
              <w:t>,</w:t>
            </w:r>
            <w:r w:rsidRPr="00DA193A">
              <w:rPr>
                <w:rFonts w:ascii="Arial" w:hAnsi="Arial" w:cs="Arial"/>
              </w:rPr>
              <w:t xml:space="preserve"> </w:t>
            </w:r>
            <w:r w:rsidR="0067560B" w:rsidRPr="00DA193A">
              <w:rPr>
                <w:rFonts w:ascii="Arial" w:hAnsi="Arial" w:cs="Arial"/>
              </w:rPr>
              <w:t xml:space="preserve">either on the entire </w:t>
            </w:r>
            <w:r w:rsidRPr="00DA193A">
              <w:rPr>
                <w:rFonts w:ascii="Arial" w:hAnsi="Arial" w:cs="Arial"/>
              </w:rPr>
              <w:t xml:space="preserve">service </w:t>
            </w:r>
            <w:r w:rsidR="00383F1F" w:rsidRPr="00DA193A">
              <w:rPr>
                <w:rFonts w:ascii="Arial" w:hAnsi="Arial" w:cs="Arial"/>
              </w:rPr>
              <w:t xml:space="preserve">or </w:t>
            </w:r>
            <w:r w:rsidRPr="00DA193A">
              <w:rPr>
                <w:rFonts w:ascii="Arial" w:hAnsi="Arial" w:cs="Arial"/>
              </w:rPr>
              <w:t xml:space="preserve">on identified areas of services </w:t>
            </w:r>
            <w:r w:rsidR="00383F1F" w:rsidRPr="00DA193A">
              <w:rPr>
                <w:rFonts w:ascii="Arial" w:hAnsi="Arial" w:cs="Arial"/>
              </w:rPr>
              <w:t>where an end-user is most likely to access or be exposed to online pornography, self-harm material and/or high-impact violence material on the service</w:t>
            </w:r>
            <w:r w:rsidRPr="00DA193A">
              <w:rPr>
                <w:rFonts w:ascii="Arial" w:hAnsi="Arial" w:cs="Arial"/>
              </w:rPr>
              <w:t>;</w:t>
            </w:r>
          </w:p>
          <w:p w14:paraId="3605FF9B" w14:textId="77777777" w:rsidR="002E0BC2" w:rsidRPr="00DA193A" w:rsidRDefault="00FC159E" w:rsidP="002E0BC2">
            <w:pPr>
              <w:tabs>
                <w:tab w:val="left" w:pos="705"/>
              </w:tabs>
              <w:spacing w:before="120" w:after="120"/>
              <w:ind w:left="705" w:hanging="705"/>
              <w:rPr>
                <w:rFonts w:ascii="Arial" w:hAnsi="Arial" w:cs="Arial"/>
              </w:rPr>
            </w:pPr>
            <w:r w:rsidRPr="00DA193A">
              <w:rPr>
                <w:rFonts w:ascii="Arial" w:hAnsi="Arial" w:cs="Arial"/>
              </w:rPr>
              <w:t>(</w:t>
            </w:r>
            <w:r w:rsidR="00383F1F" w:rsidRPr="00DA193A">
              <w:rPr>
                <w:rFonts w:ascii="Arial" w:hAnsi="Arial" w:cs="Arial"/>
              </w:rPr>
              <w:t>b</w:t>
            </w:r>
            <w:r w:rsidRPr="00DA193A">
              <w:rPr>
                <w:rFonts w:ascii="Arial" w:hAnsi="Arial" w:cs="Arial"/>
              </w:rPr>
              <w:t>)</w:t>
            </w:r>
            <w:r w:rsidRPr="00DA193A">
              <w:rPr>
                <w:rFonts w:ascii="Arial" w:hAnsi="Arial" w:cs="Arial"/>
              </w:rPr>
              <w:tab/>
              <w:t xml:space="preserve">filtering </w:t>
            </w:r>
            <w:r w:rsidR="004D32F3" w:rsidRPr="00DA193A">
              <w:rPr>
                <w:rFonts w:ascii="Arial" w:hAnsi="Arial" w:cs="Arial"/>
              </w:rPr>
              <w:t xml:space="preserve">online pornography, self-harm material and high-impact violence </w:t>
            </w:r>
            <w:r w:rsidRPr="00DA193A">
              <w:rPr>
                <w:rFonts w:ascii="Arial" w:hAnsi="Arial" w:cs="Arial"/>
              </w:rPr>
              <w:t>material</w:t>
            </w:r>
            <w:r w:rsidR="004D32F3" w:rsidRPr="00DA193A">
              <w:rPr>
                <w:rFonts w:ascii="Arial" w:hAnsi="Arial" w:cs="Arial"/>
              </w:rPr>
              <w:t>, including by</w:t>
            </w:r>
            <w:r w:rsidR="00C4014F" w:rsidRPr="00DA193A">
              <w:rPr>
                <w:rFonts w:ascii="Arial" w:hAnsi="Arial" w:cs="Arial"/>
              </w:rPr>
              <w:t xml:space="preserve"> downlisting, deprioritising or quarantining</w:t>
            </w:r>
            <w:r w:rsidRPr="00DA193A">
              <w:rPr>
                <w:rFonts w:ascii="Arial" w:hAnsi="Arial" w:cs="Arial"/>
              </w:rPr>
              <w:t>;</w:t>
            </w:r>
          </w:p>
          <w:p w14:paraId="1F2B9BF3" w14:textId="77777777" w:rsidR="002E0BC2" w:rsidRPr="00DA193A" w:rsidRDefault="00FC159E" w:rsidP="002E0BC2">
            <w:pPr>
              <w:tabs>
                <w:tab w:val="left" w:pos="705"/>
              </w:tabs>
              <w:spacing w:before="120" w:after="120"/>
              <w:ind w:left="705" w:hanging="705"/>
              <w:rPr>
                <w:rFonts w:ascii="Arial" w:hAnsi="Arial" w:cs="Arial"/>
              </w:rPr>
            </w:pPr>
            <w:r w:rsidRPr="00DA193A">
              <w:rPr>
                <w:rFonts w:ascii="Arial" w:hAnsi="Arial" w:cs="Arial"/>
              </w:rPr>
              <w:t>(</w:t>
            </w:r>
            <w:r w:rsidR="00383F1F" w:rsidRPr="00DA193A">
              <w:rPr>
                <w:rFonts w:ascii="Arial" w:hAnsi="Arial" w:cs="Arial"/>
              </w:rPr>
              <w:t>c</w:t>
            </w:r>
            <w:r w:rsidRPr="00DA193A">
              <w:rPr>
                <w:rFonts w:ascii="Arial" w:hAnsi="Arial" w:cs="Arial"/>
              </w:rPr>
              <w:t>)</w:t>
            </w:r>
            <w:r w:rsidRPr="00DA193A">
              <w:rPr>
                <w:rFonts w:ascii="Arial" w:hAnsi="Arial" w:cs="Arial"/>
              </w:rPr>
              <w:tab/>
              <w:t xml:space="preserve">blocking </w:t>
            </w:r>
            <w:r w:rsidR="004D32F3" w:rsidRPr="00DA193A">
              <w:rPr>
                <w:rFonts w:ascii="Arial" w:hAnsi="Arial" w:cs="Arial"/>
              </w:rPr>
              <w:t xml:space="preserve">online pornography, self-harm material and high-impact violence </w:t>
            </w:r>
            <w:r w:rsidRPr="00DA193A">
              <w:rPr>
                <w:rFonts w:ascii="Arial" w:hAnsi="Arial" w:cs="Arial"/>
              </w:rPr>
              <w:t>material;</w:t>
            </w:r>
          </w:p>
          <w:p w14:paraId="670A8D6B" w14:textId="77777777" w:rsidR="002E0BC2" w:rsidRPr="00DA193A" w:rsidRDefault="00FC159E" w:rsidP="002E0BC2">
            <w:pPr>
              <w:tabs>
                <w:tab w:val="left" w:pos="705"/>
              </w:tabs>
              <w:spacing w:before="120" w:after="120"/>
              <w:ind w:left="705" w:hanging="705"/>
              <w:rPr>
                <w:rFonts w:ascii="Arial" w:hAnsi="Arial" w:cs="Arial"/>
              </w:rPr>
            </w:pPr>
            <w:r w:rsidRPr="00DA193A">
              <w:rPr>
                <w:rFonts w:ascii="Arial" w:hAnsi="Arial" w:cs="Arial"/>
              </w:rPr>
              <w:t>(</w:t>
            </w:r>
            <w:r w:rsidR="00383F1F" w:rsidRPr="00DA193A">
              <w:rPr>
                <w:rFonts w:ascii="Arial" w:hAnsi="Arial" w:cs="Arial"/>
              </w:rPr>
              <w:t>d</w:t>
            </w:r>
            <w:r w:rsidRPr="00DA193A">
              <w:rPr>
                <w:rFonts w:ascii="Arial" w:hAnsi="Arial" w:cs="Arial"/>
              </w:rPr>
              <w:t>)</w:t>
            </w:r>
            <w:r w:rsidRPr="00DA193A">
              <w:rPr>
                <w:rFonts w:ascii="Arial" w:hAnsi="Arial" w:cs="Arial"/>
              </w:rPr>
              <w:tab/>
              <w:t xml:space="preserve">blurring </w:t>
            </w:r>
            <w:r w:rsidR="004D32F3" w:rsidRPr="00DA193A">
              <w:rPr>
                <w:rFonts w:ascii="Arial" w:hAnsi="Arial" w:cs="Arial"/>
              </w:rPr>
              <w:t xml:space="preserve">online pornography, self-harm material and high-impact violence </w:t>
            </w:r>
            <w:r w:rsidRPr="00DA193A">
              <w:rPr>
                <w:rFonts w:ascii="Arial" w:hAnsi="Arial" w:cs="Arial"/>
              </w:rPr>
              <w:t>material;</w:t>
            </w:r>
          </w:p>
          <w:p w14:paraId="1AE04167" w14:textId="77777777" w:rsidR="002E0BC2" w:rsidRPr="00DA193A" w:rsidRDefault="00FC159E" w:rsidP="002E0BC2">
            <w:pPr>
              <w:tabs>
                <w:tab w:val="left" w:pos="705"/>
              </w:tabs>
              <w:spacing w:before="120" w:after="120"/>
              <w:ind w:left="705" w:hanging="705"/>
              <w:rPr>
                <w:rFonts w:ascii="Arial" w:hAnsi="Arial" w:cs="Arial"/>
              </w:rPr>
            </w:pPr>
            <w:r w:rsidRPr="00DA193A">
              <w:rPr>
                <w:rFonts w:ascii="Arial" w:hAnsi="Arial" w:cs="Arial"/>
              </w:rPr>
              <w:t>(</w:t>
            </w:r>
            <w:r w:rsidR="00383F1F" w:rsidRPr="00DA193A">
              <w:rPr>
                <w:rFonts w:ascii="Arial" w:hAnsi="Arial" w:cs="Arial"/>
              </w:rPr>
              <w:t>e</w:t>
            </w:r>
            <w:r w:rsidRPr="00DA193A">
              <w:rPr>
                <w:rFonts w:ascii="Arial" w:hAnsi="Arial" w:cs="Arial"/>
              </w:rPr>
              <w:t>)</w:t>
            </w:r>
            <w:r w:rsidRPr="00DA193A">
              <w:rPr>
                <w:rFonts w:ascii="Arial" w:hAnsi="Arial" w:cs="Arial"/>
              </w:rPr>
              <w:tab/>
              <w:t xml:space="preserve">halting autoplay of </w:t>
            </w:r>
            <w:r w:rsidR="004D32F3" w:rsidRPr="00DA193A">
              <w:rPr>
                <w:rFonts w:ascii="Arial" w:hAnsi="Arial" w:cs="Arial"/>
              </w:rPr>
              <w:t xml:space="preserve">online pornography, self-harm material and high-impact violence </w:t>
            </w:r>
            <w:r w:rsidRPr="00DA193A">
              <w:rPr>
                <w:rFonts w:ascii="Arial" w:hAnsi="Arial" w:cs="Arial"/>
              </w:rPr>
              <w:t>material;</w:t>
            </w:r>
          </w:p>
          <w:p w14:paraId="2839C5BD" w14:textId="77777777" w:rsidR="00C4014F" w:rsidRPr="00DA193A" w:rsidRDefault="00FC159E" w:rsidP="002E0BC2">
            <w:pPr>
              <w:tabs>
                <w:tab w:val="left" w:pos="705"/>
              </w:tabs>
              <w:spacing w:before="120" w:after="120"/>
              <w:ind w:left="705" w:hanging="705"/>
              <w:rPr>
                <w:rFonts w:ascii="Arial" w:hAnsi="Arial" w:cs="Arial"/>
              </w:rPr>
            </w:pPr>
            <w:r w:rsidRPr="00DA193A">
              <w:rPr>
                <w:rFonts w:ascii="Arial" w:hAnsi="Arial" w:cs="Arial"/>
              </w:rPr>
              <w:t>(</w:t>
            </w:r>
            <w:r w:rsidR="00383F1F" w:rsidRPr="00DA193A">
              <w:rPr>
                <w:rFonts w:ascii="Arial" w:hAnsi="Arial" w:cs="Arial"/>
              </w:rPr>
              <w:t>f</w:t>
            </w:r>
            <w:r w:rsidRPr="00DA193A">
              <w:rPr>
                <w:rFonts w:ascii="Arial" w:hAnsi="Arial" w:cs="Arial"/>
              </w:rPr>
              <w:t>)</w:t>
            </w:r>
            <w:r w:rsidRPr="00DA193A">
              <w:rPr>
                <w:rFonts w:ascii="Arial" w:hAnsi="Arial" w:cs="Arial"/>
              </w:rPr>
              <w:tab/>
              <w:t xml:space="preserve">placing interstitial notices on </w:t>
            </w:r>
            <w:r w:rsidR="004D32F3" w:rsidRPr="00DA193A">
              <w:rPr>
                <w:rFonts w:ascii="Arial" w:hAnsi="Arial" w:cs="Arial"/>
              </w:rPr>
              <w:t xml:space="preserve">online pornography, self-harm material and high-impact violence </w:t>
            </w:r>
            <w:r w:rsidRPr="00DA193A">
              <w:rPr>
                <w:rFonts w:ascii="Arial" w:hAnsi="Arial" w:cs="Arial"/>
              </w:rPr>
              <w:t>material so that users can click through to view if they wish;</w:t>
            </w:r>
          </w:p>
          <w:p w14:paraId="4B63BBC7" w14:textId="77777777" w:rsidR="004D32F3" w:rsidRPr="00DA193A" w:rsidRDefault="00FC159E" w:rsidP="002E0BC2">
            <w:pPr>
              <w:tabs>
                <w:tab w:val="left" w:pos="705"/>
              </w:tabs>
              <w:spacing w:before="120" w:after="120"/>
              <w:ind w:left="705" w:hanging="705"/>
              <w:rPr>
                <w:rFonts w:ascii="Arial" w:hAnsi="Arial" w:cs="Arial"/>
              </w:rPr>
            </w:pPr>
            <w:r w:rsidRPr="00DA193A">
              <w:rPr>
                <w:rFonts w:ascii="Arial" w:hAnsi="Arial" w:cs="Arial"/>
              </w:rPr>
              <w:t>(</w:t>
            </w:r>
            <w:r w:rsidR="00383F1F" w:rsidRPr="00DA193A">
              <w:rPr>
                <w:rFonts w:ascii="Arial" w:hAnsi="Arial" w:cs="Arial"/>
              </w:rPr>
              <w:t>g</w:t>
            </w:r>
            <w:r w:rsidRPr="00DA193A">
              <w:rPr>
                <w:rFonts w:ascii="Arial" w:hAnsi="Arial" w:cs="Arial"/>
              </w:rPr>
              <w:t>)</w:t>
            </w:r>
            <w:r w:rsidRPr="00DA193A">
              <w:rPr>
                <w:rFonts w:ascii="Arial" w:hAnsi="Arial" w:cs="Arial"/>
              </w:rPr>
              <w:tab/>
              <w:t>ensuring that recommender systems, algorithms, and other choice architecture, do not promote online pornography or self-harm material to child end-users;</w:t>
            </w:r>
          </w:p>
          <w:p w14:paraId="4C278C25" w14:textId="77777777" w:rsidR="002E0BC2" w:rsidRPr="00DA193A" w:rsidRDefault="00FC159E" w:rsidP="002E0BC2">
            <w:pPr>
              <w:tabs>
                <w:tab w:val="left" w:pos="705"/>
              </w:tabs>
              <w:spacing w:before="120" w:after="120"/>
              <w:ind w:left="705" w:hanging="705"/>
              <w:rPr>
                <w:rFonts w:ascii="Arial" w:hAnsi="Arial" w:cs="Arial"/>
              </w:rPr>
            </w:pPr>
            <w:r w:rsidRPr="00DA193A">
              <w:rPr>
                <w:rFonts w:ascii="Arial" w:hAnsi="Arial" w:cs="Arial"/>
              </w:rPr>
              <w:t>(</w:t>
            </w:r>
            <w:r w:rsidR="00383F1F" w:rsidRPr="00DA193A">
              <w:rPr>
                <w:rFonts w:ascii="Arial" w:hAnsi="Arial" w:cs="Arial"/>
              </w:rPr>
              <w:t>h</w:t>
            </w:r>
            <w:r w:rsidRPr="00DA193A">
              <w:rPr>
                <w:rFonts w:ascii="Arial" w:hAnsi="Arial" w:cs="Arial"/>
              </w:rPr>
              <w:t>)</w:t>
            </w:r>
            <w:r w:rsidRPr="00DA193A">
              <w:rPr>
                <w:rFonts w:ascii="Arial" w:hAnsi="Arial" w:cs="Arial"/>
              </w:rPr>
              <w:tab/>
            </w:r>
            <w:r w:rsidR="00C4014F" w:rsidRPr="00DA193A">
              <w:rPr>
                <w:rFonts w:ascii="Arial" w:hAnsi="Arial" w:cs="Arial"/>
              </w:rPr>
              <w:t>ensuring compatibility with third-party filtering software or tools which may be installed on devices, or provided by internet carriage services</w:t>
            </w:r>
            <w:r w:rsidRPr="00DA193A">
              <w:rPr>
                <w:rFonts w:ascii="Arial" w:hAnsi="Arial" w:cs="Arial"/>
              </w:rPr>
              <w:t>.</w:t>
            </w:r>
          </w:p>
          <w:p w14:paraId="243852E4" w14:textId="77777777" w:rsidR="00087AB7" w:rsidRPr="00DA193A" w:rsidRDefault="00FC159E" w:rsidP="00087AB7">
            <w:pPr>
              <w:tabs>
                <w:tab w:val="left" w:pos="9243"/>
              </w:tabs>
              <w:spacing w:before="120" w:after="120"/>
              <w:rPr>
                <w:rFonts w:ascii="Arial" w:hAnsi="Arial" w:cs="Arial"/>
                <w:i/>
                <w:iCs/>
              </w:rPr>
            </w:pPr>
            <w:r w:rsidRPr="00DA193A">
              <w:rPr>
                <w:rFonts w:ascii="Arial" w:hAnsi="Arial" w:cs="Arial"/>
                <w:b/>
                <w:bCs/>
                <w:i/>
                <w:iCs/>
              </w:rPr>
              <w:t>Guidance</w:t>
            </w:r>
            <w:r w:rsidRPr="00DA193A">
              <w:rPr>
                <w:rFonts w:ascii="Arial" w:hAnsi="Arial" w:cs="Arial"/>
                <w:i/>
                <w:iCs/>
              </w:rPr>
              <w:t xml:space="preserve">: </w:t>
            </w:r>
          </w:p>
          <w:p w14:paraId="1FD0BA70" w14:textId="77777777" w:rsidR="00087AB7" w:rsidRPr="00DA193A" w:rsidRDefault="00FC159E" w:rsidP="00087AB7">
            <w:pPr>
              <w:tabs>
                <w:tab w:val="left" w:pos="705"/>
              </w:tabs>
              <w:spacing w:before="120" w:after="120"/>
              <w:rPr>
                <w:rFonts w:ascii="Arial" w:hAnsi="Arial" w:cs="Arial"/>
              </w:rPr>
            </w:pPr>
            <w:r w:rsidRPr="00DA193A">
              <w:rPr>
                <w:rFonts w:ascii="Arial" w:hAnsi="Arial" w:cs="Arial"/>
                <w:i/>
                <w:iCs/>
              </w:rPr>
              <w:t>Appropriate safety tools may vary depending on the type of service, the typical demographic of users on the service, the type of material allowed on the service, and technical and other limitations that may apply.</w:t>
            </w:r>
          </w:p>
        </w:tc>
      </w:tr>
      <w:tr w:rsidR="00367724" w14:paraId="7E81F8C1" w14:textId="77777777" w:rsidTr="00826FAD">
        <w:tc>
          <w:tcPr>
            <w:tcW w:w="687" w:type="pct"/>
            <w:shd w:val="clear" w:color="auto" w:fill="FFFFFF" w:themeFill="background1"/>
          </w:tcPr>
          <w:p w14:paraId="33AC61A8" w14:textId="77777777" w:rsidR="002E0BC2" w:rsidRPr="00DA193A" w:rsidRDefault="00FC159E" w:rsidP="002E0BC2">
            <w:pPr>
              <w:spacing w:before="120" w:after="120"/>
              <w:jc w:val="center"/>
              <w:rPr>
                <w:rFonts w:ascii="Arial" w:hAnsi="Arial" w:cs="Arial"/>
              </w:rPr>
            </w:pPr>
            <w:r w:rsidRPr="00DA193A">
              <w:rPr>
                <w:rFonts w:ascii="Arial" w:hAnsi="Arial" w:cs="Arial"/>
              </w:rPr>
              <w:t>7.</w:t>
            </w:r>
            <w:r w:rsidR="002440BC" w:rsidRPr="00DA193A">
              <w:rPr>
                <w:rFonts w:ascii="Arial" w:hAnsi="Arial" w:cs="Arial"/>
              </w:rPr>
              <w:t>3</w:t>
            </w:r>
          </w:p>
        </w:tc>
        <w:tc>
          <w:tcPr>
            <w:tcW w:w="767" w:type="pct"/>
            <w:shd w:val="clear" w:color="auto" w:fill="FFFFFF" w:themeFill="background1"/>
          </w:tcPr>
          <w:p w14:paraId="772B4631" w14:textId="77777777" w:rsidR="002E0BC2" w:rsidRPr="00DA193A" w:rsidRDefault="00FC159E" w:rsidP="002E0BC2">
            <w:pPr>
              <w:spacing w:before="120" w:after="120"/>
              <w:jc w:val="center"/>
              <w:rPr>
                <w:rFonts w:ascii="Arial" w:hAnsi="Arial" w:cs="Arial"/>
              </w:rPr>
            </w:pPr>
            <w:r w:rsidRPr="00DA193A">
              <w:rPr>
                <w:rFonts w:ascii="Arial" w:hAnsi="Arial" w:cs="Arial"/>
              </w:rPr>
              <w:t>online pornography</w:t>
            </w:r>
          </w:p>
          <w:p w14:paraId="5230AFAC" w14:textId="77777777" w:rsidR="002E0BC2" w:rsidRPr="00DA193A" w:rsidRDefault="00FC159E" w:rsidP="002E0BC2">
            <w:pPr>
              <w:spacing w:before="120" w:after="120"/>
              <w:jc w:val="center"/>
              <w:rPr>
                <w:rFonts w:ascii="Arial" w:hAnsi="Arial" w:cs="Arial"/>
              </w:rPr>
            </w:pPr>
            <w:r w:rsidRPr="00DA193A">
              <w:rPr>
                <w:rFonts w:ascii="Arial" w:hAnsi="Arial" w:cs="Arial"/>
              </w:rPr>
              <w:t>self-harm material</w:t>
            </w:r>
          </w:p>
          <w:p w14:paraId="30D04CA7" w14:textId="77777777" w:rsidR="007743DC" w:rsidRPr="00DA193A" w:rsidRDefault="00FC159E" w:rsidP="002E0BC2">
            <w:pPr>
              <w:spacing w:before="120" w:after="120"/>
              <w:jc w:val="center"/>
              <w:rPr>
                <w:rFonts w:ascii="Arial" w:hAnsi="Arial" w:cs="Arial"/>
              </w:rPr>
            </w:pPr>
            <w:r w:rsidRPr="00DA193A">
              <w:rPr>
                <w:rFonts w:ascii="Arial" w:hAnsi="Arial" w:cs="Arial"/>
              </w:rPr>
              <w:t>high-impact violence material</w:t>
            </w:r>
          </w:p>
        </w:tc>
        <w:tc>
          <w:tcPr>
            <w:tcW w:w="3546" w:type="pct"/>
            <w:shd w:val="clear" w:color="auto" w:fill="FFFFFF" w:themeFill="background1"/>
          </w:tcPr>
          <w:p w14:paraId="42195D1D" w14:textId="77777777" w:rsidR="002E0BC2" w:rsidRPr="00DA193A" w:rsidRDefault="00FC159E" w:rsidP="002E0BC2">
            <w:pPr>
              <w:spacing w:before="120" w:after="120"/>
              <w:rPr>
                <w:rFonts w:ascii="Arial" w:hAnsi="Arial" w:cs="Arial"/>
                <w:b/>
                <w:bCs/>
              </w:rPr>
            </w:pPr>
            <w:r w:rsidRPr="00DA193A">
              <w:rPr>
                <w:rFonts w:ascii="Arial" w:hAnsi="Arial" w:cs="Arial"/>
                <w:b/>
                <w:bCs/>
              </w:rPr>
              <w:t>Publishing information about tools and settings</w:t>
            </w:r>
          </w:p>
          <w:p w14:paraId="6215EF16" w14:textId="77777777" w:rsidR="002E0BC2" w:rsidRPr="00DA193A" w:rsidRDefault="00FC159E" w:rsidP="002E0BC2">
            <w:pPr>
              <w:spacing w:before="120" w:after="120"/>
              <w:rPr>
                <w:rFonts w:ascii="Arial" w:hAnsi="Arial" w:cs="Arial"/>
              </w:rPr>
            </w:pPr>
            <w:r w:rsidRPr="00DA193A">
              <w:rPr>
                <w:rFonts w:ascii="Arial" w:hAnsi="Arial" w:cs="Arial"/>
              </w:rPr>
              <w:t xml:space="preserve">To the extent relevant, a service provider must publish clear and accessible information to Australian end-users about the tools and settings available to </w:t>
            </w:r>
            <w:r w:rsidR="00AD04F7" w:rsidRPr="00DA193A">
              <w:rPr>
                <w:rFonts w:ascii="Arial" w:hAnsi="Arial" w:cs="Arial"/>
              </w:rPr>
              <w:t xml:space="preserve">limit their access or exposure to </w:t>
            </w:r>
            <w:r w:rsidRPr="00DA193A">
              <w:rPr>
                <w:rFonts w:ascii="Arial" w:hAnsi="Arial" w:cs="Arial"/>
              </w:rPr>
              <w:t>online pornography</w:t>
            </w:r>
            <w:r w:rsidR="009C7DF2" w:rsidRPr="00DA193A">
              <w:rPr>
                <w:rFonts w:ascii="Arial" w:hAnsi="Arial" w:cs="Arial"/>
              </w:rPr>
              <w:t>,</w:t>
            </w:r>
            <w:r w:rsidRPr="00DA193A">
              <w:rPr>
                <w:rFonts w:ascii="Arial" w:hAnsi="Arial" w:cs="Arial"/>
              </w:rPr>
              <w:t xml:space="preserve"> self-harm material </w:t>
            </w:r>
            <w:r w:rsidR="009C7DF2" w:rsidRPr="00DA193A">
              <w:rPr>
                <w:rFonts w:ascii="Arial" w:hAnsi="Arial" w:cs="Arial"/>
              </w:rPr>
              <w:t xml:space="preserve">and high-impact violence material </w:t>
            </w:r>
            <w:r w:rsidRPr="00DA193A">
              <w:rPr>
                <w:rFonts w:ascii="Arial" w:hAnsi="Arial" w:cs="Arial"/>
              </w:rPr>
              <w:t xml:space="preserve">in their news and discovery feed. </w:t>
            </w:r>
          </w:p>
        </w:tc>
      </w:tr>
      <w:tr w:rsidR="00367724" w14:paraId="46D6A206" w14:textId="77777777" w:rsidTr="00826FAD">
        <w:tc>
          <w:tcPr>
            <w:tcW w:w="687" w:type="pct"/>
            <w:shd w:val="clear" w:color="auto" w:fill="FFFFFF" w:themeFill="background1"/>
          </w:tcPr>
          <w:p w14:paraId="5B30F52E" w14:textId="77777777" w:rsidR="002E0BC2" w:rsidRPr="00DA193A" w:rsidRDefault="00FC159E" w:rsidP="002E0BC2">
            <w:pPr>
              <w:spacing w:before="120" w:after="120"/>
              <w:jc w:val="center"/>
              <w:rPr>
                <w:rFonts w:ascii="Arial" w:hAnsi="Arial" w:cs="Arial"/>
              </w:rPr>
            </w:pPr>
            <w:r w:rsidRPr="00DA193A">
              <w:rPr>
                <w:rFonts w:ascii="Arial" w:hAnsi="Arial" w:cs="Arial"/>
              </w:rPr>
              <w:t>7.</w:t>
            </w:r>
            <w:r w:rsidR="002440BC" w:rsidRPr="00DA193A">
              <w:rPr>
                <w:rFonts w:ascii="Arial" w:hAnsi="Arial" w:cs="Arial"/>
              </w:rPr>
              <w:t>4</w:t>
            </w:r>
          </w:p>
        </w:tc>
        <w:tc>
          <w:tcPr>
            <w:tcW w:w="767" w:type="pct"/>
            <w:shd w:val="clear" w:color="auto" w:fill="FFFFFF" w:themeFill="background1"/>
          </w:tcPr>
          <w:p w14:paraId="003AC34D" w14:textId="77777777" w:rsidR="002E0BC2" w:rsidRPr="00DA193A" w:rsidRDefault="00FC159E" w:rsidP="002E0BC2">
            <w:pPr>
              <w:spacing w:before="120" w:after="120"/>
              <w:jc w:val="center"/>
              <w:rPr>
                <w:rFonts w:ascii="Arial" w:hAnsi="Arial" w:cs="Arial"/>
              </w:rPr>
            </w:pPr>
            <w:r w:rsidRPr="00DA193A">
              <w:rPr>
                <w:rFonts w:ascii="Arial" w:hAnsi="Arial" w:cs="Arial"/>
              </w:rPr>
              <w:t>online pornography</w:t>
            </w:r>
          </w:p>
          <w:p w14:paraId="69630F6D" w14:textId="77777777" w:rsidR="002E0BC2" w:rsidRPr="00DA193A" w:rsidRDefault="00FC159E" w:rsidP="002E0BC2">
            <w:pPr>
              <w:spacing w:before="120" w:after="120"/>
              <w:jc w:val="center"/>
              <w:rPr>
                <w:rFonts w:ascii="Arial" w:hAnsi="Arial" w:cs="Arial"/>
              </w:rPr>
            </w:pPr>
            <w:r w:rsidRPr="00DA193A">
              <w:rPr>
                <w:rFonts w:ascii="Arial" w:hAnsi="Arial" w:cs="Arial"/>
              </w:rPr>
              <w:t>self-harm material</w:t>
            </w:r>
          </w:p>
          <w:p w14:paraId="1853BA1E" w14:textId="77777777" w:rsidR="007743DC" w:rsidRPr="00DA193A" w:rsidRDefault="00FC159E" w:rsidP="002E0BC2">
            <w:pPr>
              <w:spacing w:before="120" w:after="120"/>
              <w:jc w:val="center"/>
            </w:pPr>
            <w:r w:rsidRPr="00DA193A">
              <w:rPr>
                <w:rFonts w:ascii="Arial" w:hAnsi="Arial" w:cs="Arial"/>
              </w:rPr>
              <w:t>high-impact violence material</w:t>
            </w:r>
          </w:p>
        </w:tc>
        <w:tc>
          <w:tcPr>
            <w:tcW w:w="3546" w:type="pct"/>
            <w:shd w:val="clear" w:color="auto" w:fill="FFFFFF" w:themeFill="background1"/>
          </w:tcPr>
          <w:p w14:paraId="5F17D9E1" w14:textId="77777777" w:rsidR="002E0BC2" w:rsidRPr="00DA193A" w:rsidRDefault="00FC159E" w:rsidP="002E0BC2">
            <w:pPr>
              <w:spacing w:before="120" w:after="120"/>
              <w:rPr>
                <w:rFonts w:ascii="Arial" w:hAnsi="Arial" w:cs="Arial"/>
                <w:b/>
                <w:bCs/>
              </w:rPr>
            </w:pPr>
            <w:r w:rsidRPr="00DA193A">
              <w:rPr>
                <w:rFonts w:ascii="Arial" w:hAnsi="Arial" w:cs="Arial"/>
                <w:b/>
                <w:bCs/>
              </w:rPr>
              <w:t>Annual reporting to eSafety on Code compliance</w:t>
            </w:r>
          </w:p>
          <w:p w14:paraId="310E636E" w14:textId="77777777" w:rsidR="002E0BC2" w:rsidRPr="00DA193A" w:rsidRDefault="00FC159E" w:rsidP="002E0BC2">
            <w:pPr>
              <w:spacing w:before="120" w:after="120"/>
              <w:rPr>
                <w:rFonts w:ascii="Arial" w:hAnsi="Arial" w:cs="Arial"/>
              </w:rPr>
            </w:pPr>
            <w:r w:rsidRPr="00DA193A">
              <w:rPr>
                <w:rFonts w:ascii="Arial" w:hAnsi="Arial" w:cs="Arial"/>
              </w:rPr>
              <w:t>A service provider must submit to eSafety a Code report which includes the following information:</w:t>
            </w:r>
          </w:p>
          <w:p w14:paraId="100952DF" w14:textId="77777777" w:rsidR="002E0BC2" w:rsidRPr="00DA193A" w:rsidRDefault="00FC159E" w:rsidP="002E0BC2">
            <w:pPr>
              <w:tabs>
                <w:tab w:val="left" w:pos="705"/>
              </w:tabs>
              <w:spacing w:before="120" w:after="120"/>
              <w:ind w:left="705" w:hanging="705"/>
              <w:rPr>
                <w:rFonts w:ascii="Arial" w:hAnsi="Arial" w:cs="Arial"/>
              </w:rPr>
            </w:pPr>
            <w:r w:rsidRPr="00DA193A">
              <w:rPr>
                <w:rFonts w:ascii="Arial" w:hAnsi="Arial" w:cs="Arial"/>
              </w:rPr>
              <w:t>(</w:t>
            </w:r>
            <w:r w:rsidR="00FB7619" w:rsidRPr="00DA193A">
              <w:rPr>
                <w:rFonts w:ascii="Arial" w:hAnsi="Arial" w:cs="Arial"/>
              </w:rPr>
              <w:t>a</w:t>
            </w:r>
            <w:r w:rsidRPr="00DA193A">
              <w:rPr>
                <w:rFonts w:ascii="Arial" w:hAnsi="Arial" w:cs="Arial"/>
              </w:rPr>
              <w:t>)</w:t>
            </w:r>
            <w:r w:rsidRPr="00DA193A">
              <w:rPr>
                <w:rFonts w:ascii="Arial" w:hAnsi="Arial" w:cs="Arial"/>
              </w:rPr>
              <w:tab/>
              <w:t xml:space="preserve">the steps that the provider has taken to comply with the compliance measures under this Code; and </w:t>
            </w:r>
          </w:p>
          <w:p w14:paraId="50BCFBAB" w14:textId="77777777" w:rsidR="002E0BC2" w:rsidRPr="00DA193A" w:rsidRDefault="00FC159E" w:rsidP="002E0BC2">
            <w:pPr>
              <w:tabs>
                <w:tab w:val="left" w:pos="705"/>
              </w:tabs>
              <w:spacing w:before="120" w:after="120"/>
              <w:ind w:left="705" w:hanging="705"/>
              <w:rPr>
                <w:rFonts w:ascii="Arial" w:hAnsi="Arial" w:cs="Arial"/>
              </w:rPr>
            </w:pPr>
            <w:r w:rsidRPr="00DA193A">
              <w:rPr>
                <w:rFonts w:ascii="Arial" w:hAnsi="Arial" w:cs="Arial"/>
              </w:rPr>
              <w:t>(</w:t>
            </w:r>
            <w:r w:rsidR="00FB7619" w:rsidRPr="00DA193A">
              <w:rPr>
                <w:rFonts w:ascii="Arial" w:hAnsi="Arial" w:cs="Arial"/>
              </w:rPr>
              <w:t>b</w:t>
            </w:r>
            <w:r w:rsidRPr="00DA193A">
              <w:rPr>
                <w:rFonts w:ascii="Arial" w:hAnsi="Arial" w:cs="Arial"/>
              </w:rPr>
              <w:t>)</w:t>
            </w:r>
            <w:r w:rsidRPr="00DA193A">
              <w:rPr>
                <w:rFonts w:ascii="Arial" w:hAnsi="Arial" w:cs="Arial"/>
              </w:rPr>
              <w:tab/>
              <w:t xml:space="preserve">an explanation as to why these </w:t>
            </w:r>
            <w:r w:rsidR="00901A01" w:rsidRPr="00DA193A">
              <w:rPr>
                <w:rFonts w:ascii="Arial" w:hAnsi="Arial" w:cs="Arial"/>
              </w:rPr>
              <w:t>steps</w:t>
            </w:r>
            <w:r w:rsidRPr="00DA193A">
              <w:rPr>
                <w:rFonts w:ascii="Arial" w:hAnsi="Arial" w:cs="Arial"/>
              </w:rPr>
              <w:t xml:space="preserve"> are appropriate.</w:t>
            </w:r>
          </w:p>
          <w:p w14:paraId="7D0FB3F9" w14:textId="77777777" w:rsidR="00BE20B3" w:rsidRPr="00DA193A" w:rsidRDefault="00FC159E" w:rsidP="008D4A6F">
            <w:pPr>
              <w:spacing w:before="120" w:after="120"/>
              <w:rPr>
                <w:rFonts w:ascii="Arial" w:hAnsi="Arial" w:cs="Arial"/>
              </w:rPr>
            </w:pPr>
            <w:r w:rsidRPr="00DA193A">
              <w:rPr>
                <w:rFonts w:ascii="Arial" w:hAnsi="Arial" w:cs="Arial"/>
              </w:rPr>
              <w:t>The first Code report must be submitted by the provider of the social media service to</w:t>
            </w:r>
            <w:r w:rsidRPr="00DA193A">
              <w:t xml:space="preserve"> </w:t>
            </w:r>
            <w:r w:rsidRPr="00DA193A">
              <w:rPr>
                <w:rFonts w:ascii="Arial" w:hAnsi="Arial" w:cs="Arial"/>
              </w:rPr>
              <w:t>eSafety 12 months after this Code comes into effect. The provider of the social media service must submit subsequent Code reports to eSafety annually.</w:t>
            </w:r>
          </w:p>
          <w:p w14:paraId="5E784407" w14:textId="77777777" w:rsidR="004C2F78" w:rsidRPr="00DA193A" w:rsidRDefault="00FC159E" w:rsidP="008D4A6F">
            <w:pPr>
              <w:spacing w:before="120" w:after="120"/>
              <w:rPr>
                <w:rFonts w:ascii="Arial" w:hAnsi="Arial" w:cs="Arial"/>
              </w:rPr>
            </w:pPr>
            <w:r w:rsidRPr="00DA193A">
              <w:rPr>
                <w:rFonts w:ascii="Arial" w:hAnsi="Arial" w:cs="Arial"/>
              </w:rPr>
              <w:t>A report under this compliance measure may be combined with any report that the service provider is obliged to provide under any other compliance measure.</w:t>
            </w:r>
          </w:p>
        </w:tc>
      </w:tr>
    </w:tbl>
    <w:p w14:paraId="3312A615" w14:textId="77777777" w:rsidR="00417916" w:rsidRPr="00DA193A" w:rsidRDefault="00417916">
      <w:pPr>
        <w:pStyle w:val="Indent2"/>
        <w:ind w:left="0"/>
        <w:sectPr w:rsidR="00417916" w:rsidRPr="00DA193A" w:rsidSect="00435FC7">
          <w:headerReference w:type="default" r:id="rId16"/>
          <w:footerReference w:type="default" r:id="rId17"/>
          <w:pgSz w:w="16838" w:h="11906" w:orient="landscape" w:code="9"/>
          <w:pgMar w:top="1080" w:right="1440" w:bottom="1080" w:left="1440" w:header="425" w:footer="425" w:gutter="0"/>
          <w:cols w:space="720"/>
          <w:docGrid w:linePitch="272"/>
        </w:sectPr>
      </w:pPr>
    </w:p>
    <w:p w14:paraId="6D7A4EAA" w14:textId="77777777" w:rsidR="005D2E14" w:rsidRPr="00DA193A" w:rsidRDefault="00FC159E">
      <w:pPr>
        <w:pStyle w:val="Heading1"/>
        <w:tabs>
          <w:tab w:val="clear" w:pos="737"/>
        </w:tabs>
        <w:rPr>
          <w:lang w:val="en-GB"/>
        </w:rPr>
      </w:pPr>
      <w:bookmarkStart w:id="43" w:name="_Ref173404090"/>
      <w:r w:rsidRPr="00DA193A">
        <w:rPr>
          <w:lang w:val="en-GB"/>
        </w:rPr>
        <w:t>C</w:t>
      </w:r>
      <w:r w:rsidR="003726E2" w:rsidRPr="00DA193A">
        <w:rPr>
          <w:lang w:val="en-GB"/>
        </w:rPr>
        <w:t>ompliance measures</w:t>
      </w:r>
      <w:bookmarkEnd w:id="43"/>
      <w:r w:rsidRPr="00DA193A">
        <w:rPr>
          <w:lang w:val="en-GB"/>
        </w:rPr>
        <w:t xml:space="preserve"> where online pornography, self-harm material or high-impact violence material is </w:t>
      </w:r>
      <w:r w:rsidRPr="00DA193A">
        <w:rPr>
          <w:u w:val="single"/>
          <w:lang w:val="en-GB"/>
        </w:rPr>
        <w:t>not</w:t>
      </w:r>
      <w:r w:rsidRPr="00DA193A">
        <w:rPr>
          <w:lang w:val="en-GB"/>
        </w:rPr>
        <w:t xml:space="preserve"> allowed</w:t>
      </w:r>
    </w:p>
    <w:p w14:paraId="0828C433" w14:textId="77777777" w:rsidR="000F2DD2" w:rsidRPr="00DA193A" w:rsidRDefault="00FC159E" w:rsidP="000F2DD2">
      <w:pPr>
        <w:spacing w:before="120" w:after="120"/>
      </w:pPr>
      <w:r w:rsidRPr="00DA193A">
        <w:t xml:space="preserve">The compliance measures in this table apply to the extent </w:t>
      </w:r>
      <w:r w:rsidR="00B205CA" w:rsidRPr="00DA193A">
        <w:rPr>
          <w:lang w:val="en-GB"/>
        </w:rPr>
        <w:t>online pornography</w:t>
      </w:r>
      <w:r w:rsidR="003B75D3" w:rsidRPr="00DA193A">
        <w:rPr>
          <w:lang w:val="en-GB"/>
        </w:rPr>
        <w:t>,</w:t>
      </w:r>
      <w:r w:rsidR="00B205CA" w:rsidRPr="00DA193A">
        <w:rPr>
          <w:lang w:val="en-GB"/>
        </w:rPr>
        <w:t xml:space="preserve"> self-harm material</w:t>
      </w:r>
      <w:r w:rsidR="003B75D3" w:rsidRPr="00DA193A">
        <w:rPr>
          <w:lang w:val="en-GB"/>
        </w:rPr>
        <w:t xml:space="preserve"> and high-impact violence material </w:t>
      </w:r>
      <w:r w:rsidRPr="00DA193A">
        <w:t xml:space="preserve">is </w:t>
      </w:r>
      <w:r w:rsidRPr="00DA193A">
        <w:rPr>
          <w:u w:val="single"/>
        </w:rPr>
        <w:t>not</w:t>
      </w:r>
      <w:r w:rsidRPr="00DA193A">
        <w:t xml:space="preserve"> allowed to be posted on </w:t>
      </w:r>
      <w:r w:rsidR="00AE2552" w:rsidRPr="00DA193A">
        <w:t>a</w:t>
      </w:r>
      <w:r w:rsidRPr="00DA193A">
        <w:t xml:space="preserve"> social media service under the applicable terms of use</w:t>
      </w:r>
      <w:r w:rsidR="00AE2552" w:rsidRPr="00DA193A">
        <w:t xml:space="preserve"> </w:t>
      </w:r>
      <w:r w:rsidR="00EA5CB4" w:rsidRPr="00DA193A">
        <w:t xml:space="preserve">where </w:t>
      </w:r>
      <w:r w:rsidR="00EE5275" w:rsidRPr="00DA193A">
        <w:t xml:space="preserve">the service has </w:t>
      </w:r>
      <w:r w:rsidR="00EA5CB4" w:rsidRPr="00DA193A">
        <w:t xml:space="preserve">a Tier 1 or Tier 2 risk profile for </w:t>
      </w:r>
      <w:r w:rsidR="00EA5CB4" w:rsidRPr="00DA193A">
        <w:rPr>
          <w:lang w:val="en-GB"/>
        </w:rPr>
        <w:t>online</w:t>
      </w:r>
      <w:r w:rsidR="00A7452C">
        <w:rPr>
          <w:lang w:val="en-GB"/>
        </w:rPr>
        <w:t xml:space="preserve"> </w:t>
      </w:r>
      <w:r w:rsidR="00EA5CB4" w:rsidRPr="00DA193A">
        <w:rPr>
          <w:lang w:val="en-GB"/>
        </w:rPr>
        <w:t>pornography, self-harm material or high-impact violence material</w:t>
      </w:r>
      <w:r w:rsidR="001E7D19" w:rsidRPr="00DA193A">
        <w:t xml:space="preserve">, </w:t>
      </w:r>
      <w:r w:rsidR="00825706" w:rsidRPr="00DA193A">
        <w:rPr>
          <w:lang w:val="en-GB"/>
        </w:rPr>
        <w:t>but do not apply to any messaging feature</w:t>
      </w:r>
      <w:r w:rsidR="002F65D1">
        <w:rPr>
          <w:lang w:val="en-GB"/>
        </w:rPr>
        <w:t xml:space="preserve"> or AI companion chatbot feature</w:t>
      </w:r>
      <w:r w:rsidRPr="00DA193A">
        <w:t>.</w:t>
      </w:r>
      <w:r w:rsidR="002D0F29" w:rsidRPr="00DA193A">
        <w:t xml:space="preserve"> Each measure applies to</w:t>
      </w:r>
      <w:r w:rsidR="00351CEE" w:rsidRPr="00DA193A">
        <w:t xml:space="preserve"> services in the risk</w:t>
      </w:r>
      <w:r w:rsidR="002D0F29" w:rsidRPr="00DA193A">
        <w:t xml:space="preserve"> </w:t>
      </w:r>
      <w:r w:rsidR="00351CEE" w:rsidRPr="00DA193A">
        <w:t xml:space="preserve">tier specified in the ‘Risk Tier’ column and to </w:t>
      </w:r>
      <w:r w:rsidR="002D0F29" w:rsidRPr="00DA193A">
        <w:t xml:space="preserve">the type of </w:t>
      </w:r>
      <w:r w:rsidR="00CC2B42" w:rsidRPr="00DA193A">
        <w:t xml:space="preserve">class 1C and class 2 </w:t>
      </w:r>
      <w:r w:rsidR="002D0F29" w:rsidRPr="00DA193A">
        <w:t>material specified in the ‘Material’ column</w:t>
      </w:r>
      <w:r w:rsidR="00351CEE" w:rsidRPr="00DA193A">
        <w:t xml:space="preserve"> for that measure</w:t>
      </w:r>
      <w:r w:rsidR="002D0F29" w:rsidRPr="00DA193A">
        <w:t>.</w:t>
      </w:r>
    </w:p>
    <w:tbl>
      <w:tblPr>
        <w:tblStyle w:val="TableGrid"/>
        <w:tblW w:w="5000" w:type="pct"/>
        <w:tblLook w:val="04A0" w:firstRow="1" w:lastRow="0" w:firstColumn="1" w:lastColumn="0" w:noHBand="0" w:noVBand="1"/>
      </w:tblPr>
      <w:tblGrid>
        <w:gridCol w:w="1936"/>
        <w:gridCol w:w="2120"/>
        <w:gridCol w:w="2056"/>
        <w:gridCol w:w="7836"/>
      </w:tblGrid>
      <w:tr w:rsidR="00367724" w14:paraId="599BCA2C" w14:textId="77777777" w:rsidTr="002E0BC2">
        <w:trPr>
          <w:tblHeader/>
        </w:trPr>
        <w:tc>
          <w:tcPr>
            <w:tcW w:w="694" w:type="pct"/>
            <w:shd w:val="clear" w:color="auto" w:fill="000000" w:themeFill="text1"/>
          </w:tcPr>
          <w:p w14:paraId="1EFB967F" w14:textId="77777777" w:rsidR="00B22607" w:rsidRPr="00DA193A" w:rsidRDefault="00FC159E">
            <w:pPr>
              <w:spacing w:before="120" w:after="120"/>
              <w:jc w:val="center"/>
              <w:rPr>
                <w:rFonts w:ascii="Arial" w:hAnsi="Arial" w:cs="Arial"/>
                <w:b/>
                <w:bCs/>
                <w:color w:val="FFFFFF" w:themeColor="background1"/>
              </w:rPr>
            </w:pPr>
            <w:r w:rsidRPr="00DA193A">
              <w:rPr>
                <w:rFonts w:ascii="Arial" w:hAnsi="Arial" w:cs="Arial"/>
                <w:b/>
                <w:bCs/>
                <w:color w:val="FFFFFF" w:themeColor="background1"/>
              </w:rPr>
              <w:t>No.</w:t>
            </w:r>
          </w:p>
        </w:tc>
        <w:tc>
          <w:tcPr>
            <w:tcW w:w="760" w:type="pct"/>
            <w:shd w:val="clear" w:color="auto" w:fill="000000" w:themeFill="text1"/>
          </w:tcPr>
          <w:p w14:paraId="34C941EE" w14:textId="77777777" w:rsidR="00B22607" w:rsidRPr="00DA193A" w:rsidRDefault="00FC159E">
            <w:pPr>
              <w:spacing w:before="120" w:after="120"/>
              <w:jc w:val="center"/>
              <w:rPr>
                <w:rFonts w:ascii="Arial" w:hAnsi="Arial" w:cs="Arial"/>
                <w:b/>
                <w:bCs/>
                <w:color w:val="FFFFFF" w:themeColor="background1"/>
              </w:rPr>
            </w:pPr>
            <w:r w:rsidRPr="00DA193A">
              <w:rPr>
                <w:rFonts w:ascii="Arial" w:hAnsi="Arial" w:cs="Arial"/>
                <w:b/>
                <w:bCs/>
                <w:color w:val="FFFFFF" w:themeColor="background1"/>
              </w:rPr>
              <w:t>Risk Tier</w:t>
            </w:r>
          </w:p>
        </w:tc>
        <w:tc>
          <w:tcPr>
            <w:tcW w:w="737" w:type="pct"/>
            <w:shd w:val="clear" w:color="auto" w:fill="000000" w:themeFill="text1"/>
          </w:tcPr>
          <w:p w14:paraId="27F31F5B" w14:textId="77777777" w:rsidR="00B22607" w:rsidRPr="00DA193A" w:rsidRDefault="00FC159E">
            <w:pPr>
              <w:spacing w:before="120" w:after="120"/>
              <w:jc w:val="center"/>
              <w:rPr>
                <w:rFonts w:ascii="Arial" w:hAnsi="Arial" w:cs="Arial"/>
                <w:b/>
                <w:bCs/>
                <w:color w:val="FFFFFF" w:themeColor="background1"/>
              </w:rPr>
            </w:pPr>
            <w:r w:rsidRPr="00DA193A">
              <w:rPr>
                <w:rFonts w:ascii="Arial" w:hAnsi="Arial" w:cs="Arial"/>
                <w:b/>
                <w:bCs/>
                <w:color w:val="FFFFFF" w:themeColor="background1"/>
              </w:rPr>
              <w:t>Material</w:t>
            </w:r>
          </w:p>
        </w:tc>
        <w:tc>
          <w:tcPr>
            <w:tcW w:w="2809" w:type="pct"/>
            <w:shd w:val="clear" w:color="auto" w:fill="000000" w:themeFill="text1"/>
          </w:tcPr>
          <w:p w14:paraId="35069C02" w14:textId="77777777" w:rsidR="00B22607" w:rsidRPr="00DA193A" w:rsidRDefault="00FC159E">
            <w:pPr>
              <w:spacing w:before="120" w:after="120"/>
              <w:rPr>
                <w:rFonts w:ascii="Arial" w:hAnsi="Arial" w:cs="Arial"/>
                <w:b/>
                <w:bCs/>
                <w:color w:val="FFFFFF" w:themeColor="background1"/>
              </w:rPr>
            </w:pPr>
            <w:r w:rsidRPr="00DA193A">
              <w:rPr>
                <w:rFonts w:ascii="Arial" w:hAnsi="Arial" w:cs="Arial"/>
                <w:b/>
                <w:bCs/>
                <w:color w:val="FFFFFF" w:themeColor="background1"/>
              </w:rPr>
              <w:t>Compliance measure</w:t>
            </w:r>
          </w:p>
        </w:tc>
      </w:tr>
      <w:tr w:rsidR="00367724" w14:paraId="5D790042" w14:textId="77777777" w:rsidTr="002E0BC2">
        <w:tc>
          <w:tcPr>
            <w:tcW w:w="694" w:type="pct"/>
            <w:shd w:val="clear" w:color="auto" w:fill="FFFFFF" w:themeFill="background1"/>
          </w:tcPr>
          <w:p w14:paraId="48A7E4D5" w14:textId="77777777" w:rsidR="00B22607" w:rsidRPr="00DA193A" w:rsidRDefault="00FC159E">
            <w:pPr>
              <w:spacing w:before="120" w:after="120"/>
              <w:jc w:val="center"/>
              <w:rPr>
                <w:rFonts w:ascii="Arial" w:hAnsi="Arial" w:cs="Arial"/>
              </w:rPr>
            </w:pPr>
            <w:r w:rsidRPr="00DA193A">
              <w:rPr>
                <w:rFonts w:ascii="Arial" w:hAnsi="Arial" w:cs="Arial"/>
              </w:rPr>
              <w:t>8.</w:t>
            </w:r>
            <w:r w:rsidR="002440BC" w:rsidRPr="00DA193A">
              <w:rPr>
                <w:rFonts w:ascii="Arial" w:hAnsi="Arial" w:cs="Arial"/>
              </w:rPr>
              <w:t>1</w:t>
            </w:r>
          </w:p>
        </w:tc>
        <w:tc>
          <w:tcPr>
            <w:tcW w:w="760" w:type="pct"/>
            <w:shd w:val="clear" w:color="auto" w:fill="FFFFFF" w:themeFill="background1"/>
          </w:tcPr>
          <w:p w14:paraId="6C0299F7" w14:textId="77777777" w:rsidR="00B22607" w:rsidRPr="00DA193A" w:rsidRDefault="00FC159E" w:rsidP="0049119B">
            <w:pPr>
              <w:spacing w:before="120" w:after="120"/>
              <w:jc w:val="center"/>
              <w:rPr>
                <w:rFonts w:ascii="Arial" w:hAnsi="Arial" w:cs="Arial"/>
              </w:rPr>
            </w:pPr>
            <w:r w:rsidRPr="00DA193A">
              <w:rPr>
                <w:rFonts w:ascii="Arial" w:hAnsi="Arial" w:cs="Arial"/>
              </w:rPr>
              <w:t>Tier 1</w:t>
            </w:r>
            <w:r w:rsidR="0049119B" w:rsidRPr="00DA193A">
              <w:rPr>
                <w:rFonts w:ascii="Arial" w:hAnsi="Arial" w:cs="Arial"/>
              </w:rPr>
              <w:t xml:space="preserve"> or </w:t>
            </w:r>
            <w:r w:rsidRPr="00DA193A">
              <w:rPr>
                <w:rFonts w:ascii="Arial" w:hAnsi="Arial" w:cs="Arial"/>
              </w:rPr>
              <w:t>Tier 2</w:t>
            </w:r>
            <w:r w:rsidR="0049119B" w:rsidRPr="00DA193A">
              <w:rPr>
                <w:rFonts w:ascii="Arial" w:hAnsi="Arial" w:cs="Arial"/>
              </w:rPr>
              <w:t xml:space="preserve"> for online pornography</w:t>
            </w:r>
          </w:p>
        </w:tc>
        <w:tc>
          <w:tcPr>
            <w:tcW w:w="737" w:type="pct"/>
            <w:shd w:val="clear" w:color="auto" w:fill="FFFFFF" w:themeFill="background1"/>
          </w:tcPr>
          <w:p w14:paraId="3AD989B9" w14:textId="77777777" w:rsidR="00B22607" w:rsidRPr="00DA193A" w:rsidRDefault="00FC159E">
            <w:pPr>
              <w:spacing w:before="120" w:after="120"/>
              <w:jc w:val="center"/>
              <w:rPr>
                <w:rFonts w:ascii="Arial" w:hAnsi="Arial" w:cs="Arial"/>
              </w:rPr>
            </w:pPr>
            <w:r w:rsidRPr="00DA193A">
              <w:rPr>
                <w:rFonts w:ascii="Arial" w:hAnsi="Arial" w:cs="Arial"/>
              </w:rPr>
              <w:t>online pornography</w:t>
            </w:r>
          </w:p>
        </w:tc>
        <w:tc>
          <w:tcPr>
            <w:tcW w:w="2809" w:type="pct"/>
            <w:shd w:val="clear" w:color="auto" w:fill="FFFFFF" w:themeFill="background1"/>
          </w:tcPr>
          <w:p w14:paraId="468554C0" w14:textId="77777777" w:rsidR="0089761C" w:rsidRPr="00DA193A" w:rsidRDefault="00FC159E">
            <w:pPr>
              <w:spacing w:before="120" w:after="120"/>
              <w:rPr>
                <w:rFonts w:ascii="Arial" w:hAnsi="Arial" w:cs="Arial"/>
                <w:b/>
                <w:bCs/>
              </w:rPr>
            </w:pPr>
            <w:r w:rsidRPr="00DA193A">
              <w:rPr>
                <w:rFonts w:ascii="Arial" w:hAnsi="Arial" w:cs="Arial"/>
                <w:b/>
                <w:bCs/>
              </w:rPr>
              <w:t>Use of systems, processes and/or technologies to detect and remove online pornography</w:t>
            </w:r>
          </w:p>
          <w:p w14:paraId="04111BBA" w14:textId="77777777" w:rsidR="00C94A17" w:rsidRPr="00DA193A" w:rsidRDefault="00FC159E">
            <w:pPr>
              <w:spacing w:before="120" w:after="120"/>
              <w:rPr>
                <w:rFonts w:ascii="Arial" w:hAnsi="Arial" w:cs="Arial"/>
              </w:rPr>
            </w:pPr>
            <w:r w:rsidRPr="00DA193A">
              <w:rPr>
                <w:rFonts w:ascii="Arial" w:hAnsi="Arial" w:cs="Arial"/>
              </w:rPr>
              <w:t>A service provider must implement systems, processes and/or technologies designed to detect, flag and/or remove online pornography from the service, for example, through the use of key word searches, hashing, machine learning, artificial intelligence, or other technology designed to identify text, videos and images that may, depending on the context, be online pornography and/or other safety technologies or systems or processes that limit users</w:t>
            </w:r>
            <w:r w:rsidR="00B9220D" w:rsidRPr="00DA193A">
              <w:rPr>
                <w:rFonts w:ascii="Arial" w:hAnsi="Arial" w:cs="Arial"/>
              </w:rPr>
              <w:t>’</w:t>
            </w:r>
            <w:r w:rsidRPr="00DA193A">
              <w:rPr>
                <w:rFonts w:ascii="Arial" w:hAnsi="Arial" w:cs="Arial"/>
              </w:rPr>
              <w:t xml:space="preserve"> </w:t>
            </w:r>
            <w:r w:rsidR="00B9220D" w:rsidRPr="00DA193A">
              <w:rPr>
                <w:rFonts w:ascii="Arial" w:hAnsi="Arial" w:cs="Arial"/>
              </w:rPr>
              <w:t>exposure</w:t>
            </w:r>
            <w:r w:rsidRPr="00DA193A">
              <w:rPr>
                <w:rFonts w:ascii="Arial" w:hAnsi="Arial" w:cs="Arial"/>
              </w:rPr>
              <w:t xml:space="preserve"> </w:t>
            </w:r>
            <w:r w:rsidR="00B9220D" w:rsidRPr="00DA193A">
              <w:rPr>
                <w:rFonts w:ascii="Arial" w:hAnsi="Arial" w:cs="Arial"/>
              </w:rPr>
              <w:t xml:space="preserve">to </w:t>
            </w:r>
            <w:r w:rsidRPr="00DA193A">
              <w:rPr>
                <w:rFonts w:ascii="Arial" w:hAnsi="Arial" w:cs="Arial"/>
              </w:rPr>
              <w:t xml:space="preserve">such material on the service. </w:t>
            </w:r>
            <w:r w:rsidR="00C83358">
              <w:rPr>
                <w:rFonts w:ascii="Arial" w:hAnsi="Arial" w:cs="Arial"/>
              </w:rPr>
              <w:t xml:space="preserve">A service provider must also take </w:t>
            </w:r>
            <w:r w:rsidR="00986205">
              <w:rPr>
                <w:rFonts w:ascii="Arial" w:hAnsi="Arial" w:cs="Arial"/>
              </w:rPr>
              <w:t>appropriate</w:t>
            </w:r>
            <w:r w:rsidR="00C83358">
              <w:rPr>
                <w:rFonts w:ascii="Arial" w:hAnsi="Arial" w:cs="Arial"/>
              </w:rPr>
              <w:t xml:space="preserve"> steps to continuously improve these systems, processes and/or technologies.</w:t>
            </w:r>
          </w:p>
          <w:p w14:paraId="1F61571C" w14:textId="77777777" w:rsidR="00C94A17" w:rsidRPr="00DA193A" w:rsidRDefault="00FC159E">
            <w:pPr>
              <w:spacing w:before="120" w:after="120"/>
              <w:rPr>
                <w:rFonts w:ascii="Arial" w:hAnsi="Arial" w:cs="Arial"/>
                <w:i/>
                <w:iCs/>
              </w:rPr>
            </w:pPr>
            <w:r w:rsidRPr="00DA193A">
              <w:rPr>
                <w:rFonts w:ascii="Arial" w:hAnsi="Arial" w:cs="Arial"/>
                <w:b/>
                <w:bCs/>
                <w:i/>
                <w:iCs/>
              </w:rPr>
              <w:t>Guidance</w:t>
            </w:r>
            <w:r w:rsidRPr="00DA193A">
              <w:rPr>
                <w:rFonts w:ascii="Arial" w:hAnsi="Arial" w:cs="Arial"/>
                <w:i/>
                <w:iCs/>
              </w:rPr>
              <w:t xml:space="preserve">: </w:t>
            </w:r>
          </w:p>
          <w:p w14:paraId="74578AE9" w14:textId="77777777" w:rsidR="00B22607" w:rsidRPr="003805B0" w:rsidRDefault="00FC159E">
            <w:pPr>
              <w:spacing w:before="120" w:after="120"/>
              <w:rPr>
                <w:rFonts w:ascii="Arial" w:hAnsi="Arial" w:cs="Arial"/>
                <w:i/>
                <w:iCs/>
              </w:rPr>
            </w:pPr>
            <w:r w:rsidRPr="00DA193A">
              <w:rPr>
                <w:rFonts w:ascii="Arial" w:hAnsi="Arial" w:cs="Arial"/>
                <w:i/>
                <w:iCs/>
              </w:rPr>
              <w:t xml:space="preserve">In implementing this measure, service providers should carefully consider the appropriateness of systems, processes and/or technological tools for their services. These may include, but are not limited to, systems, processes and/or tools that scan for hashed materials and/or behavioural or text signals and/or patterns that signal or are associated with online pornography. </w:t>
            </w:r>
            <w:r w:rsidR="005B170F" w:rsidRPr="00DA193A">
              <w:rPr>
                <w:rFonts w:ascii="Arial" w:hAnsi="Arial" w:cs="Arial"/>
                <w:i/>
                <w:iCs/>
              </w:rPr>
              <w:t>Providers should consider the appropriateness of different options and the capability of the provider to use those options accurately, including the need for systems and processes that, where appropriate, prioritise materials detected for human review. The rights and expectations of legitimate users of social media services are also important factors for providers to consider when considering the type of approach that is appropriate for a particular service.</w:t>
            </w:r>
          </w:p>
        </w:tc>
      </w:tr>
      <w:tr w:rsidR="00367724" w14:paraId="668CCFC8" w14:textId="77777777" w:rsidTr="002E0BC2">
        <w:tc>
          <w:tcPr>
            <w:tcW w:w="694" w:type="pct"/>
            <w:shd w:val="clear" w:color="auto" w:fill="FFFFFF" w:themeFill="background1"/>
          </w:tcPr>
          <w:p w14:paraId="060BC84F" w14:textId="77777777" w:rsidR="00B22607" w:rsidRPr="00DA193A" w:rsidRDefault="00FC159E">
            <w:pPr>
              <w:spacing w:before="120" w:after="120"/>
              <w:jc w:val="center"/>
            </w:pPr>
            <w:r w:rsidRPr="00DA193A">
              <w:rPr>
                <w:rFonts w:ascii="Arial" w:hAnsi="Arial" w:cs="Arial"/>
              </w:rPr>
              <w:t>8.</w:t>
            </w:r>
            <w:r w:rsidR="002440BC" w:rsidRPr="00DA193A">
              <w:rPr>
                <w:rFonts w:ascii="Arial" w:hAnsi="Arial" w:cs="Arial"/>
              </w:rPr>
              <w:t>2</w:t>
            </w:r>
          </w:p>
        </w:tc>
        <w:tc>
          <w:tcPr>
            <w:tcW w:w="760" w:type="pct"/>
            <w:shd w:val="clear" w:color="auto" w:fill="FFFFFF" w:themeFill="background1"/>
          </w:tcPr>
          <w:p w14:paraId="0D103A7F" w14:textId="77777777" w:rsidR="00B22607" w:rsidRPr="00DA193A" w:rsidRDefault="00FC159E">
            <w:pPr>
              <w:spacing w:before="120" w:after="120"/>
              <w:jc w:val="center"/>
            </w:pPr>
            <w:r w:rsidRPr="00DA193A">
              <w:rPr>
                <w:rFonts w:ascii="Arial" w:hAnsi="Arial" w:cs="Arial"/>
              </w:rPr>
              <w:t>Tier 1</w:t>
            </w:r>
            <w:r w:rsidR="0049119B" w:rsidRPr="00DA193A">
              <w:rPr>
                <w:rFonts w:ascii="Arial" w:hAnsi="Arial" w:cs="Arial"/>
              </w:rPr>
              <w:t xml:space="preserve"> </w:t>
            </w:r>
            <w:r w:rsidR="00BF6D62" w:rsidRPr="00DA193A">
              <w:rPr>
                <w:rFonts w:ascii="Arial" w:hAnsi="Arial" w:cs="Arial"/>
              </w:rPr>
              <w:t xml:space="preserve">or Tier 2 </w:t>
            </w:r>
            <w:r w:rsidR="0049119B" w:rsidRPr="00DA193A">
              <w:rPr>
                <w:rFonts w:ascii="Arial" w:hAnsi="Arial" w:cs="Arial"/>
              </w:rPr>
              <w:t>for self-harm material</w:t>
            </w:r>
          </w:p>
        </w:tc>
        <w:tc>
          <w:tcPr>
            <w:tcW w:w="737" w:type="pct"/>
            <w:shd w:val="clear" w:color="auto" w:fill="FFFFFF" w:themeFill="background1"/>
          </w:tcPr>
          <w:p w14:paraId="42A0CBAA" w14:textId="77777777" w:rsidR="00B22607" w:rsidRPr="00DA193A" w:rsidRDefault="00FC159E">
            <w:pPr>
              <w:spacing w:before="120" w:after="120"/>
              <w:jc w:val="center"/>
            </w:pPr>
            <w:r w:rsidRPr="00DA193A">
              <w:rPr>
                <w:rFonts w:ascii="Arial" w:hAnsi="Arial" w:cs="Arial"/>
              </w:rPr>
              <w:t xml:space="preserve">self-harm material </w:t>
            </w:r>
          </w:p>
        </w:tc>
        <w:tc>
          <w:tcPr>
            <w:tcW w:w="2809" w:type="pct"/>
            <w:shd w:val="clear" w:color="auto" w:fill="FFFFFF" w:themeFill="background1"/>
          </w:tcPr>
          <w:p w14:paraId="2DB21512" w14:textId="77777777" w:rsidR="00C94A17" w:rsidRPr="00DA193A" w:rsidRDefault="00FC159E" w:rsidP="00C94A17">
            <w:pPr>
              <w:spacing w:before="120" w:after="120"/>
              <w:rPr>
                <w:rFonts w:ascii="Arial" w:hAnsi="Arial" w:cs="Arial"/>
                <w:b/>
                <w:bCs/>
              </w:rPr>
            </w:pPr>
            <w:r w:rsidRPr="00DA193A">
              <w:rPr>
                <w:rFonts w:ascii="Arial" w:hAnsi="Arial" w:cs="Arial"/>
                <w:b/>
                <w:bCs/>
              </w:rPr>
              <w:t>Use of systems, processes and/or technologies to detect and remove self-harm material</w:t>
            </w:r>
          </w:p>
          <w:p w14:paraId="23DF24FD" w14:textId="77777777" w:rsidR="00C94A17" w:rsidRPr="00DA193A" w:rsidRDefault="00FC159E" w:rsidP="00C94A17">
            <w:pPr>
              <w:spacing w:before="120" w:after="120"/>
              <w:rPr>
                <w:rFonts w:ascii="Arial" w:hAnsi="Arial" w:cs="Arial"/>
              </w:rPr>
            </w:pPr>
            <w:r w:rsidRPr="00DA193A">
              <w:rPr>
                <w:rFonts w:ascii="Arial" w:hAnsi="Arial" w:cs="Arial"/>
              </w:rPr>
              <w:t xml:space="preserve">A service provider must implement systems, processes and/or technologies designed to detect, flag and/or remove self-harm material from the service, for example, through the use of key word searches, hashing, machine learning, artificial intelligence, or other technology designed to identify text, videos and images that may, depending on the context, be self-harm material and/or other safety technologies or systems or processes that </w:t>
            </w:r>
            <w:r w:rsidR="00B9220D" w:rsidRPr="00DA193A">
              <w:rPr>
                <w:rFonts w:ascii="Arial" w:hAnsi="Arial" w:cs="Arial"/>
              </w:rPr>
              <w:t xml:space="preserve">limit users’ exposure to </w:t>
            </w:r>
            <w:r w:rsidRPr="00DA193A">
              <w:rPr>
                <w:rFonts w:ascii="Arial" w:hAnsi="Arial" w:cs="Arial"/>
              </w:rPr>
              <w:t xml:space="preserve">such material on the service. </w:t>
            </w:r>
            <w:r w:rsidR="00C83358">
              <w:rPr>
                <w:rFonts w:ascii="Arial" w:hAnsi="Arial" w:cs="Arial"/>
              </w:rPr>
              <w:t xml:space="preserve">A service provider must also take </w:t>
            </w:r>
            <w:r w:rsidR="00986205">
              <w:rPr>
                <w:rFonts w:ascii="Arial" w:hAnsi="Arial" w:cs="Arial"/>
              </w:rPr>
              <w:t>appropriate</w:t>
            </w:r>
            <w:r w:rsidR="00C83358">
              <w:rPr>
                <w:rFonts w:ascii="Arial" w:hAnsi="Arial" w:cs="Arial"/>
              </w:rPr>
              <w:t xml:space="preserve"> steps to continuously improve these systems, processes and/or technologies.</w:t>
            </w:r>
          </w:p>
          <w:p w14:paraId="429AC265" w14:textId="77777777" w:rsidR="00C94A17" w:rsidRPr="00DA193A" w:rsidRDefault="00FC159E" w:rsidP="00C94A17">
            <w:pPr>
              <w:spacing w:before="120" w:after="120"/>
              <w:rPr>
                <w:rFonts w:ascii="Arial" w:hAnsi="Arial" w:cs="Arial"/>
                <w:i/>
                <w:iCs/>
              </w:rPr>
            </w:pPr>
            <w:r w:rsidRPr="00DA193A">
              <w:rPr>
                <w:rFonts w:ascii="Arial" w:hAnsi="Arial" w:cs="Arial"/>
                <w:b/>
                <w:bCs/>
                <w:i/>
                <w:iCs/>
              </w:rPr>
              <w:t>Guidance</w:t>
            </w:r>
            <w:r w:rsidRPr="00DA193A">
              <w:rPr>
                <w:rFonts w:ascii="Arial" w:hAnsi="Arial" w:cs="Arial"/>
                <w:i/>
                <w:iCs/>
              </w:rPr>
              <w:t xml:space="preserve">: </w:t>
            </w:r>
          </w:p>
          <w:p w14:paraId="46207748" w14:textId="77777777" w:rsidR="00B22607" w:rsidRPr="00DA193A" w:rsidRDefault="00FC159E">
            <w:pPr>
              <w:spacing w:before="120" w:after="120"/>
            </w:pPr>
            <w:r w:rsidRPr="00DA193A">
              <w:rPr>
                <w:rFonts w:ascii="Arial" w:hAnsi="Arial" w:cs="Arial"/>
                <w:i/>
                <w:iCs/>
              </w:rPr>
              <w:t>In implementing this measure, service providers should carefully consider the appropriateness of systems, processes and/or technological tools for their services. These may include, but are not limited to, systems, processes and/or tools that scan for hashed materials and/or behavioural or text signals and/or patterns that signal or are associated with self-harm material. Providers should consider the appropriateness of different options and the capability of the provider to use those options accurately, in</w:t>
            </w:r>
            <w:r w:rsidRPr="00DA193A">
              <w:rPr>
                <w:rFonts w:ascii="Arial" w:hAnsi="Arial" w:cs="Arial"/>
                <w:i/>
                <w:iCs/>
              </w:rPr>
              <w:t>cluding the need for systems and processes that</w:t>
            </w:r>
            <w:r w:rsidR="00B9220D" w:rsidRPr="00DA193A">
              <w:rPr>
                <w:rFonts w:ascii="Arial" w:hAnsi="Arial" w:cs="Arial"/>
                <w:i/>
                <w:iCs/>
              </w:rPr>
              <w:t>,</w:t>
            </w:r>
            <w:r w:rsidRPr="00DA193A">
              <w:rPr>
                <w:rFonts w:ascii="Arial" w:hAnsi="Arial" w:cs="Arial"/>
                <w:i/>
                <w:iCs/>
              </w:rPr>
              <w:t xml:space="preserve"> </w:t>
            </w:r>
            <w:r w:rsidR="00B9220D" w:rsidRPr="00DA193A">
              <w:rPr>
                <w:rFonts w:ascii="Arial" w:hAnsi="Arial" w:cs="Arial"/>
                <w:i/>
                <w:iCs/>
              </w:rPr>
              <w:t xml:space="preserve">where appropriate, </w:t>
            </w:r>
            <w:r w:rsidRPr="00DA193A">
              <w:rPr>
                <w:rFonts w:ascii="Arial" w:hAnsi="Arial" w:cs="Arial"/>
                <w:i/>
                <w:iCs/>
              </w:rPr>
              <w:t>prioritise materials detected for human review. The rights and expectations of legitimate users of social media services are also important factors for providers to consider when considering the type of approach that is appropriate for a particular service.</w:t>
            </w:r>
          </w:p>
        </w:tc>
      </w:tr>
      <w:tr w:rsidR="00367724" w14:paraId="5EC6F1D6" w14:textId="77777777" w:rsidTr="003F1293">
        <w:tc>
          <w:tcPr>
            <w:tcW w:w="694" w:type="pct"/>
            <w:shd w:val="clear" w:color="auto" w:fill="FFFFFF" w:themeFill="background1"/>
          </w:tcPr>
          <w:p w14:paraId="430C2890" w14:textId="77777777" w:rsidR="00985B2D" w:rsidRPr="00DA193A" w:rsidRDefault="00FC159E" w:rsidP="003F1293">
            <w:pPr>
              <w:spacing w:before="120" w:after="120"/>
              <w:jc w:val="center"/>
            </w:pPr>
            <w:r w:rsidRPr="00DA193A">
              <w:rPr>
                <w:rFonts w:ascii="Arial" w:hAnsi="Arial" w:cs="Arial"/>
              </w:rPr>
              <w:t>8.</w:t>
            </w:r>
            <w:r w:rsidR="002440BC" w:rsidRPr="00DA193A">
              <w:rPr>
                <w:rFonts w:ascii="Arial" w:hAnsi="Arial" w:cs="Arial"/>
              </w:rPr>
              <w:t>3</w:t>
            </w:r>
          </w:p>
        </w:tc>
        <w:tc>
          <w:tcPr>
            <w:tcW w:w="760" w:type="pct"/>
            <w:shd w:val="clear" w:color="auto" w:fill="FFFFFF" w:themeFill="background1"/>
          </w:tcPr>
          <w:p w14:paraId="447CEE49" w14:textId="77777777" w:rsidR="00985B2D" w:rsidRPr="00DA193A" w:rsidRDefault="00FC159E" w:rsidP="003F1293">
            <w:pPr>
              <w:spacing w:before="120" w:after="120"/>
              <w:jc w:val="center"/>
            </w:pPr>
            <w:r w:rsidRPr="00DA193A">
              <w:rPr>
                <w:rFonts w:ascii="Arial" w:hAnsi="Arial" w:cs="Arial"/>
              </w:rPr>
              <w:t xml:space="preserve">Tier 1 </w:t>
            </w:r>
            <w:r w:rsidR="00BF6D62" w:rsidRPr="00DA193A">
              <w:rPr>
                <w:rFonts w:ascii="Arial" w:hAnsi="Arial" w:cs="Arial"/>
              </w:rPr>
              <w:t xml:space="preserve">or Tier 2 </w:t>
            </w:r>
            <w:r w:rsidRPr="00DA193A">
              <w:rPr>
                <w:rFonts w:ascii="Arial" w:hAnsi="Arial" w:cs="Arial"/>
              </w:rPr>
              <w:t>for high-impact violence material</w:t>
            </w:r>
          </w:p>
        </w:tc>
        <w:tc>
          <w:tcPr>
            <w:tcW w:w="737" w:type="pct"/>
            <w:shd w:val="clear" w:color="auto" w:fill="FFFFFF" w:themeFill="background1"/>
          </w:tcPr>
          <w:p w14:paraId="07CE356C" w14:textId="77777777" w:rsidR="00985B2D" w:rsidRPr="00DA193A" w:rsidRDefault="00FC159E" w:rsidP="003F1293">
            <w:pPr>
              <w:spacing w:before="120" w:after="120"/>
              <w:jc w:val="center"/>
            </w:pPr>
            <w:r w:rsidRPr="00DA193A">
              <w:rPr>
                <w:rFonts w:ascii="Arial" w:hAnsi="Arial" w:cs="Arial"/>
              </w:rPr>
              <w:t xml:space="preserve">high-impact violence material </w:t>
            </w:r>
          </w:p>
        </w:tc>
        <w:tc>
          <w:tcPr>
            <w:tcW w:w="2809" w:type="pct"/>
            <w:shd w:val="clear" w:color="auto" w:fill="FFFFFF" w:themeFill="background1"/>
          </w:tcPr>
          <w:p w14:paraId="0CE42DFB" w14:textId="77777777" w:rsidR="00985B2D" w:rsidRPr="00DA193A" w:rsidRDefault="00FC159E" w:rsidP="003F1293">
            <w:pPr>
              <w:spacing w:before="120" w:after="120"/>
              <w:rPr>
                <w:rFonts w:ascii="Arial" w:hAnsi="Arial" w:cs="Arial"/>
                <w:b/>
                <w:bCs/>
              </w:rPr>
            </w:pPr>
            <w:r w:rsidRPr="00DA193A">
              <w:rPr>
                <w:rFonts w:ascii="Arial" w:hAnsi="Arial" w:cs="Arial"/>
                <w:b/>
                <w:bCs/>
              </w:rPr>
              <w:t>Use of systems, processes and/or technologies to detect and remove high-impact violence material</w:t>
            </w:r>
          </w:p>
          <w:p w14:paraId="28C49D13" w14:textId="77777777" w:rsidR="00985B2D" w:rsidRPr="00DA193A" w:rsidRDefault="00FC159E" w:rsidP="003F1293">
            <w:pPr>
              <w:spacing w:before="120" w:after="120"/>
              <w:rPr>
                <w:rFonts w:ascii="Arial" w:hAnsi="Arial" w:cs="Arial"/>
              </w:rPr>
            </w:pPr>
            <w:r w:rsidRPr="00DA193A">
              <w:rPr>
                <w:rFonts w:ascii="Arial" w:hAnsi="Arial" w:cs="Arial"/>
              </w:rPr>
              <w:t xml:space="preserve">A service provider must implement systems, processes and/or technologies designed to detect, flag and/or remove high-impact violence material from the service, for example, through the use of key word searches, hashing, machine learning, artificial intelligence, or other technology designed to identify text, videos and images that may, depending on the context, be </w:t>
            </w:r>
            <w:r w:rsidR="00AD259D" w:rsidRPr="00DA193A">
              <w:rPr>
                <w:rFonts w:ascii="Arial" w:hAnsi="Arial" w:cs="Arial"/>
              </w:rPr>
              <w:t>high-impact violence</w:t>
            </w:r>
            <w:r w:rsidRPr="00DA193A">
              <w:rPr>
                <w:rFonts w:ascii="Arial" w:hAnsi="Arial" w:cs="Arial"/>
              </w:rPr>
              <w:t xml:space="preserve"> material and/or other safety technologies or systems or processes that </w:t>
            </w:r>
            <w:r w:rsidR="00B9220D" w:rsidRPr="00DA193A">
              <w:rPr>
                <w:rFonts w:ascii="Arial" w:hAnsi="Arial" w:cs="Arial"/>
              </w:rPr>
              <w:t xml:space="preserve">limit users’ exposure to </w:t>
            </w:r>
            <w:r w:rsidRPr="00DA193A">
              <w:rPr>
                <w:rFonts w:ascii="Arial" w:hAnsi="Arial" w:cs="Arial"/>
              </w:rPr>
              <w:t xml:space="preserve">such material on the service. </w:t>
            </w:r>
            <w:r w:rsidR="00C83358">
              <w:rPr>
                <w:rFonts w:ascii="Arial" w:hAnsi="Arial" w:cs="Arial"/>
              </w:rPr>
              <w:t xml:space="preserve">A service provider must also take </w:t>
            </w:r>
            <w:r w:rsidR="00986205">
              <w:rPr>
                <w:rFonts w:ascii="Arial" w:hAnsi="Arial" w:cs="Arial"/>
              </w:rPr>
              <w:t>appropriate</w:t>
            </w:r>
            <w:r w:rsidR="00C83358">
              <w:rPr>
                <w:rFonts w:ascii="Arial" w:hAnsi="Arial" w:cs="Arial"/>
              </w:rPr>
              <w:t xml:space="preserve"> steps to continuously improve these systems, processes and/or technologies.</w:t>
            </w:r>
          </w:p>
          <w:p w14:paraId="19CA9FCC" w14:textId="77777777" w:rsidR="00985B2D" w:rsidRPr="00DA193A" w:rsidRDefault="00FC159E" w:rsidP="003F1293">
            <w:pPr>
              <w:spacing w:before="120" w:after="120"/>
              <w:rPr>
                <w:rFonts w:ascii="Arial" w:hAnsi="Arial" w:cs="Arial"/>
                <w:i/>
                <w:iCs/>
              </w:rPr>
            </w:pPr>
            <w:r w:rsidRPr="00DA193A">
              <w:rPr>
                <w:rFonts w:ascii="Arial" w:hAnsi="Arial" w:cs="Arial"/>
                <w:b/>
                <w:bCs/>
                <w:i/>
                <w:iCs/>
              </w:rPr>
              <w:t>Guidance</w:t>
            </w:r>
            <w:r w:rsidRPr="00DA193A">
              <w:rPr>
                <w:rFonts w:ascii="Arial" w:hAnsi="Arial" w:cs="Arial"/>
                <w:i/>
                <w:iCs/>
              </w:rPr>
              <w:t xml:space="preserve">: </w:t>
            </w:r>
          </w:p>
          <w:p w14:paraId="0D6109F0" w14:textId="77777777" w:rsidR="00985B2D" w:rsidRPr="00DA193A" w:rsidRDefault="00FC159E" w:rsidP="003F1293">
            <w:pPr>
              <w:spacing w:before="120" w:after="120"/>
              <w:rPr>
                <w:rFonts w:ascii="Arial" w:hAnsi="Arial" w:cs="Arial"/>
                <w:i/>
                <w:iCs/>
              </w:rPr>
            </w:pPr>
            <w:r w:rsidRPr="00DA193A">
              <w:rPr>
                <w:rFonts w:ascii="Arial" w:hAnsi="Arial" w:cs="Arial"/>
                <w:i/>
                <w:iCs/>
              </w:rPr>
              <w:t xml:space="preserve">In implementing this measure, service providers should carefully consider the appropriateness of systems, processes and/or technological tools for their services. These may include, but are not limited to, systems, processes and/or tools that scan for hashed materials and/or behavioural or text signals and/or patterns that signal or are associated with high-impact violence material. </w:t>
            </w:r>
            <w:r w:rsidR="005B170F" w:rsidRPr="00DA193A">
              <w:rPr>
                <w:rFonts w:ascii="Arial" w:hAnsi="Arial" w:cs="Arial"/>
                <w:i/>
                <w:iCs/>
              </w:rPr>
              <w:t>Providers should consider the appropriateness of different options and the capability of the provider to use those options accurately, including the need for systems and processes that, where appropriate, prioritise materials detected for human review. The rights and expectations of legitimate users of social media services are also important factors for providers to consider when considering the type of approach that is appropriate for a particular service.</w:t>
            </w:r>
          </w:p>
        </w:tc>
      </w:tr>
      <w:tr w:rsidR="00367724" w14:paraId="175BF4E6" w14:textId="77777777" w:rsidTr="002E0BC2">
        <w:tc>
          <w:tcPr>
            <w:tcW w:w="694" w:type="pct"/>
            <w:shd w:val="clear" w:color="auto" w:fill="FFFFFF" w:themeFill="background1"/>
          </w:tcPr>
          <w:p w14:paraId="11387AAF" w14:textId="77777777" w:rsidR="00B22607" w:rsidRPr="00DA193A" w:rsidRDefault="00FC159E">
            <w:pPr>
              <w:spacing w:before="120" w:after="120"/>
              <w:jc w:val="center"/>
              <w:rPr>
                <w:rFonts w:ascii="Arial" w:hAnsi="Arial" w:cs="Arial"/>
              </w:rPr>
            </w:pPr>
            <w:r w:rsidRPr="00DA193A">
              <w:rPr>
                <w:rFonts w:ascii="Arial" w:hAnsi="Arial" w:cs="Arial"/>
              </w:rPr>
              <w:t>8.</w:t>
            </w:r>
            <w:r w:rsidR="002440BC" w:rsidRPr="00DA193A">
              <w:rPr>
                <w:rFonts w:ascii="Arial" w:hAnsi="Arial" w:cs="Arial"/>
              </w:rPr>
              <w:t>4</w:t>
            </w:r>
          </w:p>
        </w:tc>
        <w:tc>
          <w:tcPr>
            <w:tcW w:w="760" w:type="pct"/>
            <w:shd w:val="clear" w:color="auto" w:fill="FFFFFF" w:themeFill="background1"/>
          </w:tcPr>
          <w:p w14:paraId="3EC73A2E" w14:textId="77777777" w:rsidR="00B22607" w:rsidRPr="00DA193A" w:rsidRDefault="00FC159E" w:rsidP="00773129">
            <w:pPr>
              <w:spacing w:before="120" w:after="120"/>
              <w:jc w:val="center"/>
              <w:rPr>
                <w:rFonts w:ascii="Arial" w:hAnsi="Arial" w:cs="Arial"/>
              </w:rPr>
            </w:pPr>
            <w:r w:rsidRPr="00DA193A">
              <w:rPr>
                <w:rFonts w:ascii="Arial" w:hAnsi="Arial" w:cs="Arial"/>
              </w:rPr>
              <w:t>Tier 1</w:t>
            </w:r>
            <w:r w:rsidR="00773129" w:rsidRPr="00DA193A">
              <w:rPr>
                <w:rFonts w:ascii="Arial" w:hAnsi="Arial" w:cs="Arial"/>
              </w:rPr>
              <w:t xml:space="preserve"> or </w:t>
            </w:r>
            <w:r w:rsidRPr="00DA193A">
              <w:rPr>
                <w:rFonts w:ascii="Arial" w:hAnsi="Arial" w:cs="Arial"/>
              </w:rPr>
              <w:t>Tier 2</w:t>
            </w:r>
            <w:r w:rsidR="00773129" w:rsidRPr="00DA193A">
              <w:rPr>
                <w:rFonts w:ascii="Arial" w:hAnsi="Arial" w:cs="Arial"/>
              </w:rPr>
              <w:t xml:space="preserve"> for online pornography</w:t>
            </w:r>
            <w:r w:rsidR="00E82053" w:rsidRPr="00DA193A">
              <w:rPr>
                <w:rFonts w:ascii="Arial" w:hAnsi="Arial" w:cs="Arial"/>
              </w:rPr>
              <w:t>, self-harm material or high-impact violence material</w:t>
            </w:r>
          </w:p>
        </w:tc>
        <w:tc>
          <w:tcPr>
            <w:tcW w:w="737" w:type="pct"/>
            <w:shd w:val="clear" w:color="auto" w:fill="FFFFFF" w:themeFill="background1"/>
          </w:tcPr>
          <w:p w14:paraId="7C0FCFCC" w14:textId="77777777" w:rsidR="00B013E7" w:rsidRPr="00DA193A" w:rsidRDefault="00FC159E">
            <w:pPr>
              <w:spacing w:before="120" w:after="120"/>
              <w:jc w:val="center"/>
              <w:rPr>
                <w:rFonts w:ascii="Arial" w:hAnsi="Arial" w:cs="Arial"/>
              </w:rPr>
            </w:pPr>
            <w:r w:rsidRPr="00DA193A">
              <w:rPr>
                <w:rFonts w:ascii="Arial" w:hAnsi="Arial" w:cs="Arial"/>
              </w:rPr>
              <w:t>online pornography</w:t>
            </w:r>
          </w:p>
          <w:p w14:paraId="05A3C431" w14:textId="77777777" w:rsidR="00B013E7" w:rsidRPr="00DA193A" w:rsidRDefault="00FC159E">
            <w:pPr>
              <w:spacing w:before="120" w:after="120"/>
              <w:jc w:val="center"/>
              <w:rPr>
                <w:rFonts w:ascii="Arial" w:hAnsi="Arial" w:cs="Arial"/>
              </w:rPr>
            </w:pPr>
            <w:r w:rsidRPr="00DA193A">
              <w:rPr>
                <w:rFonts w:ascii="Arial" w:hAnsi="Arial" w:cs="Arial"/>
              </w:rPr>
              <w:t>self-harm material</w:t>
            </w:r>
          </w:p>
          <w:p w14:paraId="76AA41AC" w14:textId="77777777" w:rsidR="00B22607" w:rsidRPr="00DA193A" w:rsidRDefault="00FC159E">
            <w:pPr>
              <w:spacing w:before="120" w:after="120"/>
              <w:jc w:val="center"/>
              <w:rPr>
                <w:rFonts w:ascii="Arial" w:hAnsi="Arial" w:cs="Arial"/>
              </w:rPr>
            </w:pPr>
            <w:r w:rsidRPr="00DA193A">
              <w:rPr>
                <w:rFonts w:ascii="Arial" w:hAnsi="Arial" w:cs="Arial"/>
              </w:rPr>
              <w:t>high-impact violence material</w:t>
            </w:r>
          </w:p>
        </w:tc>
        <w:tc>
          <w:tcPr>
            <w:tcW w:w="2809" w:type="pct"/>
            <w:shd w:val="clear" w:color="auto" w:fill="FFFFFF" w:themeFill="background1"/>
          </w:tcPr>
          <w:p w14:paraId="7CA65453" w14:textId="77777777" w:rsidR="00B22607" w:rsidRPr="00DA193A" w:rsidRDefault="00FC159E">
            <w:pPr>
              <w:spacing w:before="120" w:after="120"/>
              <w:rPr>
                <w:rFonts w:ascii="Arial" w:hAnsi="Arial" w:cs="Arial"/>
                <w:b/>
                <w:bCs/>
              </w:rPr>
            </w:pPr>
            <w:r w:rsidRPr="00DA193A">
              <w:rPr>
                <w:rFonts w:ascii="Arial" w:hAnsi="Arial" w:cs="Arial"/>
                <w:b/>
                <w:bCs/>
              </w:rPr>
              <w:t>Reporting to eSafety on Code compliance</w:t>
            </w:r>
          </w:p>
          <w:p w14:paraId="13FDE346" w14:textId="77777777" w:rsidR="00B22607" w:rsidRPr="00DA193A" w:rsidRDefault="00FC159E">
            <w:pPr>
              <w:spacing w:before="120" w:after="120"/>
              <w:rPr>
                <w:rFonts w:ascii="Arial" w:hAnsi="Arial" w:cs="Arial"/>
              </w:rPr>
            </w:pPr>
            <w:r w:rsidRPr="00DA193A">
              <w:rPr>
                <w:rFonts w:ascii="Arial" w:hAnsi="Arial" w:cs="Arial"/>
              </w:rPr>
              <w:t>Where eSafety issues a written request to a service provider to submit a Code report, the provider named in such request must submit to eSafety a Code report which includes the following information:</w:t>
            </w:r>
          </w:p>
          <w:p w14:paraId="0E04B64C" w14:textId="77777777" w:rsidR="00B22607" w:rsidRPr="00DA193A" w:rsidRDefault="00FC159E" w:rsidP="00AC4D4C">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r>
            <w:r w:rsidRPr="00DA193A">
              <w:rPr>
                <w:rFonts w:ascii="Arial" w:hAnsi="Arial" w:cs="Arial"/>
              </w:rPr>
              <w:t>details of any risk assessment it is required to undertake pursuant to this Code in relation to online pornography</w:t>
            </w:r>
            <w:r w:rsidR="00E82053" w:rsidRPr="00DA193A">
              <w:rPr>
                <w:rFonts w:ascii="Arial" w:hAnsi="Arial" w:cs="Arial"/>
              </w:rPr>
              <w:t>, self-harm material or high-impact violence material (as applicable)</w:t>
            </w:r>
            <w:r w:rsidRPr="00DA193A">
              <w:rPr>
                <w:rFonts w:ascii="Arial" w:hAnsi="Arial" w:cs="Arial"/>
              </w:rPr>
              <w:t>;</w:t>
            </w:r>
          </w:p>
          <w:p w14:paraId="65D2281F" w14:textId="77777777" w:rsidR="00B22607" w:rsidRPr="00DA193A" w:rsidRDefault="00FC159E" w:rsidP="00AC4D4C">
            <w:pP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t xml:space="preserve">the steps that the provider has taken to comply with the compliance measures under this Code; and </w:t>
            </w:r>
          </w:p>
          <w:p w14:paraId="4A5A1509" w14:textId="77777777" w:rsidR="00B22607" w:rsidRPr="00DA193A" w:rsidRDefault="00FC159E" w:rsidP="00AC4D4C">
            <w:pPr>
              <w:tabs>
                <w:tab w:val="left" w:pos="705"/>
              </w:tabs>
              <w:spacing w:before="120" w:after="120"/>
              <w:ind w:left="705" w:hanging="705"/>
              <w:rPr>
                <w:rFonts w:ascii="Arial" w:hAnsi="Arial" w:cs="Arial"/>
              </w:rPr>
            </w:pPr>
            <w:r w:rsidRPr="00DA193A">
              <w:rPr>
                <w:rFonts w:ascii="Arial" w:hAnsi="Arial" w:cs="Arial"/>
              </w:rPr>
              <w:t>(c)</w:t>
            </w:r>
            <w:r w:rsidRPr="00DA193A">
              <w:rPr>
                <w:rFonts w:ascii="Arial" w:hAnsi="Arial" w:cs="Arial"/>
              </w:rPr>
              <w:tab/>
              <w:t xml:space="preserve">an explanation as to why these </w:t>
            </w:r>
            <w:r w:rsidR="00901A01" w:rsidRPr="00DA193A">
              <w:rPr>
                <w:rFonts w:ascii="Arial" w:hAnsi="Arial" w:cs="Arial"/>
              </w:rPr>
              <w:t>steps</w:t>
            </w:r>
            <w:r w:rsidRPr="00DA193A">
              <w:rPr>
                <w:rFonts w:ascii="Arial" w:hAnsi="Arial" w:cs="Arial"/>
              </w:rPr>
              <w:t xml:space="preserve"> are appropriate.</w:t>
            </w:r>
          </w:p>
          <w:p w14:paraId="7CE5EA0F" w14:textId="77777777" w:rsidR="00932D09" w:rsidRPr="00DA193A" w:rsidRDefault="00FC159E">
            <w:pPr>
              <w:spacing w:before="120" w:after="120"/>
              <w:rPr>
                <w:rFonts w:ascii="Arial" w:hAnsi="Arial" w:cs="Arial"/>
              </w:rPr>
            </w:pPr>
            <w:r w:rsidRPr="00DA193A">
              <w:rPr>
                <w:rFonts w:ascii="Arial" w:hAnsi="Arial" w:cs="Arial"/>
              </w:rPr>
              <w:t>A service provider that has received such a request from eSafety is required to submit a Code report within 2 months of receiving the request, but for the first request no earlier than 12 months after this Code comes into effect. A service provider will not be required to submit a Code report to eSafety more than once in any 12-month period.</w:t>
            </w:r>
          </w:p>
          <w:p w14:paraId="1B5141F4" w14:textId="77777777" w:rsidR="00FB7619" w:rsidRPr="00DA193A" w:rsidRDefault="00FC159E">
            <w:pPr>
              <w:spacing w:before="120" w:after="120"/>
            </w:pPr>
            <w:r w:rsidRPr="00DA193A">
              <w:rPr>
                <w:rFonts w:ascii="Arial" w:hAnsi="Arial" w:cs="Arial"/>
              </w:rPr>
              <w:t>A report under this compliance measure may be combined with any report that the service provider is obliged to provide under any other compliance measure.</w:t>
            </w:r>
          </w:p>
        </w:tc>
      </w:tr>
    </w:tbl>
    <w:p w14:paraId="3DCEEB6E" w14:textId="77777777" w:rsidR="00B74D54" w:rsidRPr="00DA193A" w:rsidRDefault="00FC159E">
      <w:pPr>
        <w:rPr>
          <w:lang w:val="en-GB"/>
        </w:rPr>
      </w:pPr>
      <w:r w:rsidRPr="00DA193A">
        <w:rPr>
          <w:lang w:val="en-GB"/>
        </w:rPr>
        <w:br w:type="page"/>
      </w:r>
    </w:p>
    <w:p w14:paraId="462AA690" w14:textId="77777777" w:rsidR="00B74D54" w:rsidRPr="00DA193A" w:rsidRDefault="00FC159E" w:rsidP="00B74D54">
      <w:pPr>
        <w:pStyle w:val="Heading1"/>
        <w:tabs>
          <w:tab w:val="clear" w:pos="737"/>
        </w:tabs>
        <w:rPr>
          <w:lang w:val="en-GB"/>
        </w:rPr>
      </w:pPr>
      <w:bookmarkStart w:id="44" w:name="_Ref175224177"/>
      <w:r w:rsidRPr="00DA193A">
        <w:rPr>
          <w:lang w:val="en-GB"/>
        </w:rPr>
        <w:t>Other suppor</w:t>
      </w:r>
      <w:r w:rsidR="00541F1A" w:rsidRPr="00DA193A">
        <w:rPr>
          <w:lang w:val="en-GB"/>
        </w:rPr>
        <w:t>t</w:t>
      </w:r>
      <w:r w:rsidRPr="00DA193A">
        <w:rPr>
          <w:lang w:val="en-GB"/>
        </w:rPr>
        <w:t>ing compliance measures</w:t>
      </w:r>
      <w:bookmarkEnd w:id="44"/>
    </w:p>
    <w:p w14:paraId="6D44C6B7" w14:textId="77777777" w:rsidR="00B74D54" w:rsidRPr="00DA193A" w:rsidRDefault="00FC159E" w:rsidP="00B74D54">
      <w:pPr>
        <w:spacing w:before="120" w:after="120"/>
      </w:pPr>
      <w:r w:rsidRPr="00DA193A">
        <w:t xml:space="preserve">The compliance measures in this table apply to </w:t>
      </w:r>
      <w:r w:rsidR="00937649" w:rsidRPr="00DA193A">
        <w:t>all social media services</w:t>
      </w:r>
      <w:r w:rsidR="00A20233" w:rsidRPr="00DA193A">
        <w:t xml:space="preserve"> </w:t>
      </w:r>
      <w:r w:rsidR="008E592C" w:rsidRPr="00DA193A">
        <w:rPr>
          <w:lang w:val="en-GB"/>
        </w:rPr>
        <w:t xml:space="preserve">that allow </w:t>
      </w:r>
      <w:r w:rsidR="004663B4" w:rsidRPr="00DA193A">
        <w:rPr>
          <w:lang w:val="en-GB"/>
        </w:rPr>
        <w:t>online-pornography</w:t>
      </w:r>
      <w:r w:rsidR="004C2E95" w:rsidRPr="00DA193A">
        <w:rPr>
          <w:lang w:val="en-GB"/>
        </w:rPr>
        <w:t>,</w:t>
      </w:r>
      <w:r w:rsidR="004663B4" w:rsidRPr="00DA193A">
        <w:rPr>
          <w:lang w:val="en-GB"/>
        </w:rPr>
        <w:t xml:space="preserve"> self-harm material</w:t>
      </w:r>
      <w:r w:rsidR="004C2E95" w:rsidRPr="00DA193A">
        <w:rPr>
          <w:lang w:val="en-GB"/>
        </w:rPr>
        <w:t xml:space="preserve"> or high-impact violence material</w:t>
      </w:r>
      <w:r w:rsidR="008E592C" w:rsidRPr="00DA193A">
        <w:t xml:space="preserve"> and to other social media services with a Tier 1 or Tier 2 risk profile for </w:t>
      </w:r>
      <w:r w:rsidR="004C2E95" w:rsidRPr="00DA193A">
        <w:rPr>
          <w:lang w:val="en-GB"/>
        </w:rPr>
        <w:t>online-pornography, self-harm material or high-impact violence material</w:t>
      </w:r>
      <w:r w:rsidR="001E7D19" w:rsidRPr="00DA193A">
        <w:t>,</w:t>
      </w:r>
      <w:r w:rsidR="00825706" w:rsidRPr="00DA193A">
        <w:t xml:space="preserve"> </w:t>
      </w:r>
      <w:r w:rsidR="00825706" w:rsidRPr="00DA193A">
        <w:rPr>
          <w:lang w:val="en-GB"/>
        </w:rPr>
        <w:t>but do not apply to any messaging feature</w:t>
      </w:r>
      <w:r w:rsidRPr="00DA193A">
        <w:t>.</w:t>
      </w:r>
      <w:r w:rsidR="00CC2B42" w:rsidRPr="00DA193A">
        <w:t xml:space="preserve"> Each measure applies to the type of class 1C or class 2 material specified in the ‘Material’ column for that measure.</w:t>
      </w:r>
    </w:p>
    <w:tbl>
      <w:tblPr>
        <w:tblStyle w:val="TableGrid"/>
        <w:tblW w:w="5000" w:type="pct"/>
        <w:tblLook w:val="04A0" w:firstRow="1" w:lastRow="0" w:firstColumn="1" w:lastColumn="0" w:noHBand="0" w:noVBand="1"/>
      </w:tblPr>
      <w:tblGrid>
        <w:gridCol w:w="1941"/>
        <w:gridCol w:w="2165"/>
        <w:gridCol w:w="9842"/>
      </w:tblGrid>
      <w:tr w:rsidR="00367724" w14:paraId="5262BB75" w14:textId="77777777" w:rsidTr="00CC2B42">
        <w:trPr>
          <w:tblHeader/>
        </w:trPr>
        <w:tc>
          <w:tcPr>
            <w:tcW w:w="696" w:type="pct"/>
            <w:shd w:val="clear" w:color="auto" w:fill="000000" w:themeFill="text1"/>
          </w:tcPr>
          <w:p w14:paraId="0288439C" w14:textId="77777777" w:rsidR="00CC2B42" w:rsidRPr="00DA193A" w:rsidRDefault="00FC159E" w:rsidP="006F0B23">
            <w:pPr>
              <w:spacing w:before="120" w:after="120"/>
              <w:jc w:val="center"/>
              <w:rPr>
                <w:b/>
                <w:bCs/>
                <w:color w:val="FFFFFF" w:themeColor="background1"/>
              </w:rPr>
            </w:pPr>
            <w:r w:rsidRPr="00DA193A">
              <w:rPr>
                <w:rFonts w:ascii="Arial" w:hAnsi="Arial" w:cs="Arial"/>
                <w:b/>
                <w:bCs/>
                <w:color w:val="FFFFFF" w:themeColor="background1"/>
              </w:rPr>
              <w:t>No.</w:t>
            </w:r>
          </w:p>
        </w:tc>
        <w:tc>
          <w:tcPr>
            <w:tcW w:w="776" w:type="pct"/>
            <w:shd w:val="clear" w:color="auto" w:fill="000000" w:themeFill="text1"/>
          </w:tcPr>
          <w:p w14:paraId="40966527" w14:textId="77777777" w:rsidR="00CC2B42" w:rsidRPr="00DA193A" w:rsidRDefault="00FC159E" w:rsidP="006F0B23">
            <w:pPr>
              <w:spacing w:before="120" w:after="120"/>
              <w:jc w:val="center"/>
              <w:rPr>
                <w:rFonts w:ascii="Arial" w:hAnsi="Arial" w:cs="Arial"/>
                <w:b/>
                <w:bCs/>
                <w:color w:val="FFFFFF" w:themeColor="background1"/>
              </w:rPr>
            </w:pPr>
            <w:r w:rsidRPr="00DA193A">
              <w:rPr>
                <w:rFonts w:ascii="Arial" w:hAnsi="Arial" w:cs="Arial"/>
                <w:b/>
                <w:bCs/>
                <w:color w:val="FFFFFF" w:themeColor="background1"/>
              </w:rPr>
              <w:t>Material</w:t>
            </w:r>
          </w:p>
        </w:tc>
        <w:tc>
          <w:tcPr>
            <w:tcW w:w="3528" w:type="pct"/>
            <w:shd w:val="clear" w:color="auto" w:fill="000000" w:themeFill="text1"/>
          </w:tcPr>
          <w:p w14:paraId="64B36CD3" w14:textId="77777777" w:rsidR="00CC2B42" w:rsidRPr="00DA193A" w:rsidRDefault="00FC159E" w:rsidP="006F0B23">
            <w:pPr>
              <w:spacing w:before="120" w:after="120"/>
              <w:rPr>
                <w:rFonts w:ascii="Arial" w:hAnsi="Arial" w:cs="Arial"/>
                <w:b/>
                <w:bCs/>
                <w:color w:val="FFFFFF" w:themeColor="background1"/>
              </w:rPr>
            </w:pPr>
            <w:r w:rsidRPr="00DA193A">
              <w:rPr>
                <w:rFonts w:ascii="Arial" w:hAnsi="Arial" w:cs="Arial"/>
                <w:b/>
                <w:bCs/>
                <w:color w:val="FFFFFF" w:themeColor="background1"/>
              </w:rPr>
              <w:t>Compliance measure</w:t>
            </w:r>
          </w:p>
        </w:tc>
      </w:tr>
      <w:tr w:rsidR="00367724" w14:paraId="2252277B" w14:textId="77777777" w:rsidTr="00CC2B42">
        <w:tc>
          <w:tcPr>
            <w:tcW w:w="696" w:type="pct"/>
            <w:shd w:val="clear" w:color="auto" w:fill="FFFFFF" w:themeFill="background1"/>
          </w:tcPr>
          <w:p w14:paraId="30BE6B6B" w14:textId="77777777" w:rsidR="00CC2B42" w:rsidRPr="00DA193A" w:rsidRDefault="00FC159E" w:rsidP="00332897">
            <w:pPr>
              <w:spacing w:before="120" w:after="120"/>
              <w:jc w:val="center"/>
            </w:pPr>
            <w:r w:rsidRPr="00DA193A">
              <w:rPr>
                <w:rFonts w:ascii="Arial" w:hAnsi="Arial" w:cs="Arial"/>
              </w:rPr>
              <w:t>9.1</w:t>
            </w:r>
          </w:p>
        </w:tc>
        <w:tc>
          <w:tcPr>
            <w:tcW w:w="776" w:type="pct"/>
            <w:shd w:val="clear" w:color="auto" w:fill="FFFFFF" w:themeFill="background1"/>
          </w:tcPr>
          <w:p w14:paraId="142BC1A3" w14:textId="77777777" w:rsidR="002124BB" w:rsidRPr="00DA193A" w:rsidRDefault="00FC159E" w:rsidP="002124BB">
            <w:pPr>
              <w:spacing w:before="120" w:after="120"/>
              <w:jc w:val="center"/>
              <w:rPr>
                <w:rFonts w:ascii="Arial" w:hAnsi="Arial" w:cs="Arial"/>
              </w:rPr>
            </w:pPr>
            <w:r w:rsidRPr="00DA193A">
              <w:rPr>
                <w:rFonts w:ascii="Arial" w:hAnsi="Arial" w:cs="Arial"/>
              </w:rPr>
              <w:t>online pornography</w:t>
            </w:r>
          </w:p>
          <w:p w14:paraId="6DB054EA" w14:textId="77777777" w:rsidR="002124BB" w:rsidRPr="00DA193A" w:rsidRDefault="00FC159E" w:rsidP="002124BB">
            <w:pPr>
              <w:spacing w:before="120" w:after="120"/>
              <w:jc w:val="center"/>
              <w:rPr>
                <w:rFonts w:ascii="Arial" w:hAnsi="Arial" w:cs="Arial"/>
              </w:rPr>
            </w:pPr>
            <w:r w:rsidRPr="00DA193A">
              <w:rPr>
                <w:rFonts w:ascii="Arial" w:hAnsi="Arial" w:cs="Arial"/>
              </w:rPr>
              <w:t>self-harm material</w:t>
            </w:r>
          </w:p>
          <w:p w14:paraId="20B698E2" w14:textId="77777777" w:rsidR="00653369" w:rsidRPr="00DA193A" w:rsidRDefault="00FC159E" w:rsidP="00653369">
            <w:pPr>
              <w:spacing w:before="120" w:after="120"/>
              <w:jc w:val="center"/>
              <w:rPr>
                <w:rFonts w:ascii="Arial" w:hAnsi="Arial" w:cs="Arial"/>
              </w:rPr>
            </w:pPr>
            <w:r w:rsidRPr="00DA193A">
              <w:rPr>
                <w:rFonts w:ascii="Arial" w:hAnsi="Arial" w:cs="Arial"/>
              </w:rPr>
              <w:t>high-impact violence material</w:t>
            </w:r>
          </w:p>
          <w:p w14:paraId="1813E3F4" w14:textId="77777777" w:rsidR="00CC2B42" w:rsidRPr="00DA193A" w:rsidRDefault="00FC159E" w:rsidP="00653369">
            <w:pPr>
              <w:spacing w:before="120" w:after="120"/>
              <w:jc w:val="center"/>
            </w:pPr>
            <w:r w:rsidRPr="00DA193A">
              <w:rPr>
                <w:rFonts w:ascii="Arial" w:hAnsi="Arial" w:cs="Arial"/>
              </w:rPr>
              <w:t>simulated</w:t>
            </w:r>
            <w:r w:rsidR="00C26D55" w:rsidRPr="00DA193A">
              <w:rPr>
                <w:rFonts w:ascii="Arial" w:hAnsi="Arial" w:cs="Arial"/>
              </w:rPr>
              <w:t xml:space="preserve"> </w:t>
            </w:r>
            <w:r w:rsidRPr="00DA193A">
              <w:rPr>
                <w:rFonts w:ascii="Arial" w:hAnsi="Arial" w:cs="Arial"/>
              </w:rPr>
              <w:t>gambling material</w:t>
            </w:r>
          </w:p>
        </w:tc>
        <w:tc>
          <w:tcPr>
            <w:tcW w:w="3528" w:type="pct"/>
            <w:shd w:val="clear" w:color="auto" w:fill="FFFFFF" w:themeFill="background1"/>
          </w:tcPr>
          <w:p w14:paraId="4E1CD6EA" w14:textId="77777777" w:rsidR="00CC2B42" w:rsidRPr="00DA193A" w:rsidRDefault="00FC159E" w:rsidP="001347B0">
            <w:pPr>
              <w:spacing w:before="120" w:after="120"/>
              <w:rPr>
                <w:rFonts w:ascii="Arial" w:hAnsi="Arial" w:cs="Arial"/>
                <w:b/>
                <w:bCs/>
              </w:rPr>
            </w:pPr>
            <w:r w:rsidRPr="00DA193A">
              <w:rPr>
                <w:rFonts w:ascii="Arial" w:hAnsi="Arial" w:cs="Arial"/>
                <w:b/>
                <w:bCs/>
              </w:rPr>
              <w:t>Terms and conditions relating to class 1C and class 2 material</w:t>
            </w:r>
          </w:p>
          <w:p w14:paraId="436DAF97" w14:textId="77777777" w:rsidR="00CC2B42" w:rsidRPr="00DA193A" w:rsidRDefault="00FC159E" w:rsidP="00EE3C87">
            <w:pPr>
              <w:spacing w:before="120" w:after="120"/>
              <w:rPr>
                <w:rFonts w:ascii="Arial" w:hAnsi="Arial" w:cs="Arial"/>
              </w:rPr>
            </w:pPr>
            <w:r w:rsidRPr="00DA193A">
              <w:rPr>
                <w:rFonts w:ascii="Arial" w:hAnsi="Arial" w:cs="Arial"/>
              </w:rPr>
              <w:t xml:space="preserve">A service provider must have, and enforce, clear actions, policies or terms and conditions relating to </w:t>
            </w:r>
            <w:r w:rsidR="00982AD8" w:rsidRPr="00DA193A">
              <w:rPr>
                <w:rFonts w:ascii="Arial" w:hAnsi="Arial" w:cs="Arial"/>
              </w:rPr>
              <w:t>online pornography, self-harm material, high-impact violence material</w:t>
            </w:r>
            <w:r w:rsidR="00653369" w:rsidRPr="00DA193A">
              <w:rPr>
                <w:rFonts w:ascii="Arial" w:hAnsi="Arial" w:cs="Arial"/>
              </w:rPr>
              <w:t xml:space="preserve"> </w:t>
            </w:r>
            <w:r w:rsidR="00982AD8" w:rsidRPr="00DA193A">
              <w:rPr>
                <w:rFonts w:ascii="Arial" w:hAnsi="Arial" w:cs="Arial"/>
              </w:rPr>
              <w:t>and simulated</w:t>
            </w:r>
            <w:r w:rsidR="00C26D55" w:rsidRPr="00DA193A">
              <w:rPr>
                <w:rFonts w:ascii="Arial" w:hAnsi="Arial" w:cs="Arial"/>
              </w:rPr>
              <w:t xml:space="preserve"> </w:t>
            </w:r>
            <w:r w:rsidR="00982AD8" w:rsidRPr="00DA193A">
              <w:rPr>
                <w:rFonts w:ascii="Arial" w:hAnsi="Arial" w:cs="Arial"/>
              </w:rPr>
              <w:t>gambling material</w:t>
            </w:r>
            <w:r w:rsidRPr="00DA193A">
              <w:rPr>
                <w:rFonts w:ascii="Arial" w:hAnsi="Arial" w:cs="Arial"/>
              </w:rPr>
              <w:t xml:space="preserve">, which will include, to the extent applicable, terms and conditions dealing with the types of </w:t>
            </w:r>
            <w:r w:rsidR="00982AD8" w:rsidRPr="00DA193A">
              <w:rPr>
                <w:rFonts w:ascii="Arial" w:hAnsi="Arial" w:cs="Arial"/>
              </w:rPr>
              <w:t>online pornography, self-harm material, high-impact violence material and simulated</w:t>
            </w:r>
            <w:r w:rsidR="00C26D55" w:rsidRPr="00DA193A">
              <w:rPr>
                <w:rFonts w:ascii="Arial" w:hAnsi="Arial" w:cs="Arial"/>
              </w:rPr>
              <w:t xml:space="preserve"> </w:t>
            </w:r>
            <w:r w:rsidR="00982AD8" w:rsidRPr="00DA193A">
              <w:rPr>
                <w:rFonts w:ascii="Arial" w:hAnsi="Arial" w:cs="Arial"/>
              </w:rPr>
              <w:t xml:space="preserve">gambling material </w:t>
            </w:r>
            <w:r w:rsidRPr="00DA193A">
              <w:rPr>
                <w:rFonts w:ascii="Arial" w:hAnsi="Arial" w:cs="Arial"/>
              </w:rPr>
              <w:t>that are allowed or not allowed on the social media service. In implementing this measure, the service provider must:</w:t>
            </w:r>
          </w:p>
          <w:p w14:paraId="61F612DD" w14:textId="77777777" w:rsidR="00CC2B42" w:rsidRPr="00DA193A" w:rsidRDefault="00FC159E" w:rsidP="00CC2B42">
            <w:pPr>
              <w:spacing w:before="120" w:after="120"/>
              <w:ind w:left="720" w:hanging="720"/>
              <w:rPr>
                <w:rFonts w:ascii="Arial" w:hAnsi="Arial" w:cs="Arial"/>
              </w:rPr>
            </w:pPr>
            <w:r w:rsidRPr="00DA193A">
              <w:rPr>
                <w:rFonts w:ascii="Arial" w:hAnsi="Arial" w:cs="Arial"/>
              </w:rPr>
              <w:t>(a)</w:t>
            </w:r>
            <w:r w:rsidRPr="00DA193A">
              <w:rPr>
                <w:rFonts w:ascii="Arial" w:hAnsi="Arial" w:cs="Arial"/>
              </w:rPr>
              <w:tab/>
              <w:t xml:space="preserve">use simple, plain, and straightforward language; </w:t>
            </w:r>
          </w:p>
          <w:p w14:paraId="383E8E6A" w14:textId="77777777" w:rsidR="00CC2B42" w:rsidRPr="00DA193A" w:rsidRDefault="00FC159E" w:rsidP="00CC2B42">
            <w:pPr>
              <w:spacing w:before="120" w:after="120"/>
              <w:ind w:left="720" w:hanging="720"/>
              <w:rPr>
                <w:rFonts w:ascii="Arial" w:hAnsi="Arial" w:cs="Arial"/>
              </w:rPr>
            </w:pPr>
            <w:r w:rsidRPr="00DA193A">
              <w:rPr>
                <w:rFonts w:ascii="Arial" w:hAnsi="Arial" w:cs="Arial"/>
              </w:rPr>
              <w:t>(b)</w:t>
            </w:r>
            <w:r w:rsidRPr="00DA193A">
              <w:rPr>
                <w:rFonts w:ascii="Arial" w:hAnsi="Arial" w:cs="Arial"/>
              </w:rPr>
              <w:tab/>
              <w:t>to the extent practicable, be clear about the type of any material that is prohibited; and</w:t>
            </w:r>
          </w:p>
          <w:p w14:paraId="52EA4216" w14:textId="77777777" w:rsidR="00CC2B42" w:rsidRPr="00DA193A" w:rsidRDefault="00FC159E" w:rsidP="00CC2B42">
            <w:pPr>
              <w:spacing w:before="120" w:after="120"/>
              <w:ind w:left="720" w:hanging="720"/>
              <w:rPr>
                <w:rFonts w:ascii="Arial" w:hAnsi="Arial" w:cs="Arial"/>
              </w:rPr>
            </w:pPr>
            <w:r w:rsidRPr="00DA193A">
              <w:rPr>
                <w:rFonts w:ascii="Arial" w:hAnsi="Arial" w:cs="Arial"/>
              </w:rPr>
              <w:t>(c)</w:t>
            </w:r>
            <w:r w:rsidRPr="00DA193A">
              <w:rPr>
                <w:rFonts w:ascii="Arial" w:hAnsi="Arial" w:cs="Arial"/>
              </w:rPr>
              <w:tab/>
              <w:t>communicate such terms and conditions, standards and/or policies to all personnel that are directly involved in their enforcement.</w:t>
            </w:r>
          </w:p>
          <w:p w14:paraId="7FF62E10" w14:textId="77777777" w:rsidR="00CC2B42" w:rsidRPr="00DA193A" w:rsidRDefault="00FC159E" w:rsidP="00332897">
            <w:pPr>
              <w:spacing w:before="120" w:after="120"/>
              <w:rPr>
                <w:rFonts w:ascii="Arial" w:hAnsi="Arial" w:cs="Arial"/>
              </w:rPr>
            </w:pPr>
            <w:r w:rsidRPr="00DA193A">
              <w:rPr>
                <w:rFonts w:ascii="Arial" w:hAnsi="Arial" w:cs="Arial"/>
              </w:rPr>
              <w:t>Relevant policies and actions must be implemented according to a graduated, risk-based approach. This approach may be different for different types of material.</w:t>
            </w:r>
          </w:p>
        </w:tc>
      </w:tr>
      <w:tr w:rsidR="00367724" w14:paraId="43C8D165" w14:textId="77777777" w:rsidTr="00CC2B42">
        <w:tc>
          <w:tcPr>
            <w:tcW w:w="696" w:type="pct"/>
            <w:shd w:val="clear" w:color="auto" w:fill="FFFFFF" w:themeFill="background1"/>
          </w:tcPr>
          <w:p w14:paraId="44C16357" w14:textId="77777777" w:rsidR="00CC2B42" w:rsidRPr="00DA193A" w:rsidRDefault="00FC159E" w:rsidP="00332897">
            <w:pPr>
              <w:spacing w:before="120" w:after="120"/>
              <w:jc w:val="center"/>
            </w:pPr>
            <w:r w:rsidRPr="00DA193A">
              <w:rPr>
                <w:rFonts w:ascii="Arial" w:hAnsi="Arial" w:cs="Arial"/>
              </w:rPr>
              <w:t>9.2</w:t>
            </w:r>
          </w:p>
        </w:tc>
        <w:tc>
          <w:tcPr>
            <w:tcW w:w="776" w:type="pct"/>
            <w:shd w:val="clear" w:color="auto" w:fill="FFFFFF" w:themeFill="background1"/>
          </w:tcPr>
          <w:p w14:paraId="4A0CC949" w14:textId="77777777" w:rsidR="00CC2B42" w:rsidRPr="00DA193A" w:rsidRDefault="00FC159E" w:rsidP="00332897">
            <w:pPr>
              <w:spacing w:before="120" w:after="120"/>
              <w:jc w:val="center"/>
              <w:rPr>
                <w:rFonts w:ascii="Arial" w:hAnsi="Arial" w:cs="Arial"/>
              </w:rPr>
            </w:pPr>
            <w:r w:rsidRPr="00DA193A">
              <w:rPr>
                <w:rFonts w:ascii="Arial" w:hAnsi="Arial" w:cs="Arial"/>
              </w:rPr>
              <w:t>All</w:t>
            </w:r>
          </w:p>
        </w:tc>
        <w:tc>
          <w:tcPr>
            <w:tcW w:w="3528" w:type="pct"/>
            <w:shd w:val="clear" w:color="auto" w:fill="FFFFFF" w:themeFill="background1"/>
          </w:tcPr>
          <w:p w14:paraId="6792D6B3" w14:textId="77777777" w:rsidR="00CC2B42" w:rsidRPr="00DA193A" w:rsidRDefault="00FC159E" w:rsidP="00332897">
            <w:pPr>
              <w:spacing w:before="120" w:after="120"/>
              <w:rPr>
                <w:rFonts w:ascii="Arial" w:hAnsi="Arial" w:cs="Arial"/>
                <w:b/>
                <w:bCs/>
              </w:rPr>
            </w:pPr>
            <w:r w:rsidRPr="00DA193A">
              <w:rPr>
                <w:rFonts w:ascii="Arial" w:hAnsi="Arial" w:cs="Arial"/>
                <w:b/>
                <w:bCs/>
              </w:rPr>
              <w:t>Trust and safety function</w:t>
            </w:r>
          </w:p>
          <w:p w14:paraId="0743816C" w14:textId="77777777" w:rsidR="00CC2B42" w:rsidRPr="00DA193A" w:rsidRDefault="00FC159E" w:rsidP="00332897">
            <w:pPr>
              <w:spacing w:before="120" w:after="120"/>
              <w:rPr>
                <w:rFonts w:ascii="Arial" w:hAnsi="Arial" w:cs="Arial"/>
                <w:i/>
                <w:iCs/>
              </w:rPr>
            </w:pPr>
            <w:r w:rsidRPr="00DA193A">
              <w:rPr>
                <w:rFonts w:ascii="Arial" w:hAnsi="Arial" w:cs="Arial"/>
              </w:rPr>
              <w:t>A service provider must have, or have access to, sufficient personnel to oversee the safety of the service. Such personnel must have the skills, experience and qualifications needed to ensure that the provider complies with the requirements of this Code at all times.</w:t>
            </w:r>
          </w:p>
        </w:tc>
      </w:tr>
      <w:tr w:rsidR="00367724" w14:paraId="11C0B2DB" w14:textId="77777777" w:rsidTr="0086295C">
        <w:tc>
          <w:tcPr>
            <w:tcW w:w="696" w:type="pct"/>
            <w:shd w:val="clear" w:color="auto" w:fill="FFFFFF" w:themeFill="background1"/>
          </w:tcPr>
          <w:p w14:paraId="0A15DC46" w14:textId="77777777" w:rsidR="0008280D" w:rsidRPr="00DA193A" w:rsidRDefault="00FC159E" w:rsidP="0086295C">
            <w:pPr>
              <w:spacing w:before="120" w:after="120"/>
              <w:jc w:val="center"/>
            </w:pPr>
            <w:r w:rsidRPr="00DA193A">
              <w:rPr>
                <w:rFonts w:ascii="Arial" w:hAnsi="Arial" w:cs="Arial"/>
              </w:rPr>
              <w:t>9.</w:t>
            </w:r>
            <w:r w:rsidR="00B44D6B" w:rsidRPr="00DA193A">
              <w:rPr>
                <w:rFonts w:ascii="Arial" w:hAnsi="Arial" w:cs="Arial"/>
              </w:rPr>
              <w:t>3</w:t>
            </w:r>
          </w:p>
        </w:tc>
        <w:tc>
          <w:tcPr>
            <w:tcW w:w="776" w:type="pct"/>
            <w:shd w:val="clear" w:color="auto" w:fill="FFFFFF" w:themeFill="background1"/>
          </w:tcPr>
          <w:p w14:paraId="03B00EF9" w14:textId="77777777" w:rsidR="0008280D" w:rsidRPr="00DA193A" w:rsidRDefault="00FC159E" w:rsidP="0086295C">
            <w:pPr>
              <w:spacing w:before="120" w:after="120"/>
              <w:jc w:val="center"/>
              <w:rPr>
                <w:rFonts w:ascii="Arial" w:hAnsi="Arial" w:cs="Arial"/>
              </w:rPr>
            </w:pPr>
            <w:r w:rsidRPr="00DA193A">
              <w:rPr>
                <w:rFonts w:ascii="Arial" w:hAnsi="Arial" w:cs="Arial"/>
              </w:rPr>
              <w:t>online pornography</w:t>
            </w:r>
          </w:p>
          <w:p w14:paraId="143B1A03" w14:textId="77777777" w:rsidR="0008280D" w:rsidRPr="00DA193A" w:rsidRDefault="00FC159E" w:rsidP="0086295C">
            <w:pPr>
              <w:spacing w:before="120" w:after="120"/>
              <w:jc w:val="center"/>
              <w:rPr>
                <w:rFonts w:ascii="Arial" w:hAnsi="Arial" w:cs="Arial"/>
              </w:rPr>
            </w:pPr>
            <w:r w:rsidRPr="00DA193A">
              <w:rPr>
                <w:rFonts w:ascii="Arial" w:hAnsi="Arial" w:cs="Arial"/>
              </w:rPr>
              <w:t>self-harm material</w:t>
            </w:r>
          </w:p>
          <w:p w14:paraId="3A61975E" w14:textId="77777777" w:rsidR="0008280D" w:rsidRPr="00DA193A" w:rsidRDefault="00FC159E" w:rsidP="0086295C">
            <w:pPr>
              <w:spacing w:before="120" w:after="120"/>
              <w:jc w:val="center"/>
              <w:rPr>
                <w:rFonts w:ascii="Arial" w:hAnsi="Arial" w:cs="Arial"/>
              </w:rPr>
            </w:pPr>
            <w:r w:rsidRPr="00DA193A">
              <w:rPr>
                <w:rFonts w:ascii="Arial" w:hAnsi="Arial" w:cs="Arial"/>
              </w:rPr>
              <w:t>high-impact violence material</w:t>
            </w:r>
          </w:p>
          <w:p w14:paraId="4CF8C66B" w14:textId="77777777" w:rsidR="0008280D" w:rsidRPr="00DA193A" w:rsidRDefault="00FC159E" w:rsidP="0086295C">
            <w:pPr>
              <w:spacing w:before="120" w:after="120"/>
              <w:jc w:val="center"/>
              <w:rPr>
                <w:rFonts w:ascii="Arial" w:hAnsi="Arial" w:cs="Arial"/>
              </w:rPr>
            </w:pPr>
            <w:r w:rsidRPr="00DA193A">
              <w:rPr>
                <w:rFonts w:ascii="Arial" w:hAnsi="Arial" w:cs="Arial"/>
              </w:rPr>
              <w:t>simulated</w:t>
            </w:r>
            <w:r w:rsidR="00C26D55" w:rsidRPr="00DA193A">
              <w:rPr>
                <w:rFonts w:ascii="Arial" w:hAnsi="Arial" w:cs="Arial"/>
              </w:rPr>
              <w:t xml:space="preserve"> </w:t>
            </w:r>
            <w:r w:rsidRPr="00DA193A">
              <w:rPr>
                <w:rFonts w:ascii="Arial" w:hAnsi="Arial" w:cs="Arial"/>
              </w:rPr>
              <w:t>gambling material</w:t>
            </w:r>
          </w:p>
        </w:tc>
        <w:tc>
          <w:tcPr>
            <w:tcW w:w="3528" w:type="pct"/>
            <w:shd w:val="clear" w:color="auto" w:fill="FFFFFF" w:themeFill="background1"/>
          </w:tcPr>
          <w:p w14:paraId="7EE0C578" w14:textId="77777777" w:rsidR="0008280D" w:rsidRPr="00DA193A" w:rsidRDefault="00FC159E" w:rsidP="0086295C">
            <w:pPr>
              <w:pBdr>
                <w:top w:val="nil"/>
                <w:left w:val="nil"/>
                <w:bottom w:val="nil"/>
                <w:right w:val="nil"/>
                <w:between w:val="nil"/>
              </w:pBdr>
              <w:spacing w:before="120" w:after="120"/>
              <w:rPr>
                <w:rFonts w:ascii="Arial" w:hAnsi="Arial" w:cs="Arial"/>
                <w:b/>
                <w:bCs/>
              </w:rPr>
            </w:pPr>
            <w:r w:rsidRPr="00DA193A">
              <w:rPr>
                <w:rFonts w:ascii="Arial" w:hAnsi="Arial" w:cs="Arial"/>
                <w:b/>
                <w:bCs/>
              </w:rPr>
              <w:t>Reporting mechanisms</w:t>
            </w:r>
          </w:p>
          <w:p w14:paraId="10047B31" w14:textId="77777777" w:rsidR="0008280D" w:rsidRPr="00DA193A" w:rsidRDefault="00FC159E" w:rsidP="0086295C">
            <w:pPr>
              <w:pBdr>
                <w:top w:val="nil"/>
                <w:left w:val="nil"/>
                <w:bottom w:val="nil"/>
                <w:right w:val="nil"/>
                <w:between w:val="nil"/>
              </w:pBdr>
              <w:spacing w:before="120" w:after="120"/>
              <w:rPr>
                <w:rFonts w:ascii="Arial" w:hAnsi="Arial" w:cs="Arial"/>
                <w:color w:val="000000"/>
              </w:rPr>
            </w:pPr>
            <w:r w:rsidRPr="00DA193A">
              <w:rPr>
                <w:rFonts w:ascii="Arial" w:hAnsi="Arial" w:cs="Arial"/>
              </w:rPr>
              <w:t xml:space="preserve">A service provider </w:t>
            </w:r>
            <w:r w:rsidRPr="00DA193A">
              <w:rPr>
                <w:rFonts w:ascii="Arial" w:hAnsi="Arial" w:cs="Arial"/>
                <w:color w:val="000000"/>
              </w:rPr>
              <w:t xml:space="preserve">must provide tools which enable Australian end-users to report class 1C and class 2 material which they consider may be contrary to the social media service’s terms and conditions, and </w:t>
            </w:r>
            <w:r w:rsidR="00236A4B" w:rsidRPr="00DA193A">
              <w:rPr>
                <w:rFonts w:ascii="Arial" w:hAnsi="Arial" w:cs="Arial"/>
                <w:color w:val="000000"/>
              </w:rPr>
              <w:t xml:space="preserve">must </w:t>
            </w:r>
            <w:r w:rsidR="007D2646" w:rsidRPr="00DA193A">
              <w:rPr>
                <w:rFonts w:ascii="Arial" w:hAnsi="Arial" w:cs="Arial"/>
                <w:color w:val="000000"/>
              </w:rPr>
              <w:t xml:space="preserve">where appropriate </w:t>
            </w:r>
            <w:r w:rsidR="00236A4B" w:rsidRPr="00DA193A">
              <w:rPr>
                <w:rFonts w:ascii="Arial" w:hAnsi="Arial" w:cs="Arial"/>
                <w:color w:val="000000"/>
              </w:rPr>
              <w:t xml:space="preserve">ensure </w:t>
            </w:r>
            <w:r w:rsidRPr="00DA193A">
              <w:rPr>
                <w:rFonts w:ascii="Arial" w:hAnsi="Arial" w:cs="Arial"/>
                <w:color w:val="000000"/>
              </w:rPr>
              <w:t xml:space="preserve">that these reports are </w:t>
            </w:r>
            <w:r w:rsidR="000D5425" w:rsidRPr="00DA193A">
              <w:rPr>
                <w:rFonts w:ascii="Arial" w:hAnsi="Arial" w:cs="Arial"/>
                <w:color w:val="000000"/>
              </w:rPr>
              <w:t>evaluated</w:t>
            </w:r>
            <w:r w:rsidRPr="00DA193A">
              <w:rPr>
                <w:rFonts w:ascii="Arial" w:hAnsi="Arial" w:cs="Arial"/>
                <w:color w:val="000000"/>
              </w:rPr>
              <w:t xml:space="preserve"> and actioned.</w:t>
            </w:r>
          </w:p>
          <w:p w14:paraId="16F6BE2D" w14:textId="77777777" w:rsidR="0008280D" w:rsidRPr="00DA193A" w:rsidRDefault="00FC159E" w:rsidP="0086295C">
            <w:pPr>
              <w:pBdr>
                <w:top w:val="nil"/>
                <w:left w:val="nil"/>
                <w:bottom w:val="nil"/>
                <w:right w:val="nil"/>
                <w:between w:val="nil"/>
              </w:pBdr>
              <w:spacing w:before="120" w:after="120"/>
              <w:rPr>
                <w:rFonts w:ascii="Arial" w:hAnsi="Arial" w:cs="Arial"/>
                <w:color w:val="000000"/>
              </w:rPr>
            </w:pPr>
            <w:r w:rsidRPr="00DA193A">
              <w:rPr>
                <w:rFonts w:ascii="Arial" w:hAnsi="Arial" w:cs="Arial"/>
                <w:color w:val="000000"/>
              </w:rPr>
              <w:t>Such reporting mechanisms must:</w:t>
            </w:r>
          </w:p>
          <w:p w14:paraId="12EA80BE" w14:textId="77777777" w:rsidR="0008280D" w:rsidRPr="00DA193A" w:rsidRDefault="00FC159E" w:rsidP="0086295C">
            <w:pPr>
              <w:pBdr>
                <w:top w:val="nil"/>
                <w:left w:val="nil"/>
                <w:bottom w:val="nil"/>
                <w:right w:val="nil"/>
                <w:between w:val="nil"/>
              </w:pBd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be easily accessible and easy to use;</w:t>
            </w:r>
          </w:p>
          <w:p w14:paraId="4959BBEF" w14:textId="77777777" w:rsidR="0008280D" w:rsidRPr="00DA193A" w:rsidRDefault="00FC159E" w:rsidP="0086295C">
            <w:pPr>
              <w:pBdr>
                <w:top w:val="nil"/>
                <w:left w:val="nil"/>
                <w:bottom w:val="nil"/>
                <w:right w:val="nil"/>
                <w:between w:val="nil"/>
              </w:pBd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t xml:space="preserve">be accompanied by clear instructions on how to use them; </w:t>
            </w:r>
          </w:p>
          <w:p w14:paraId="128BA189" w14:textId="77777777" w:rsidR="0008280D" w:rsidRPr="00DA193A" w:rsidRDefault="00FC159E" w:rsidP="0086295C">
            <w:pPr>
              <w:spacing w:before="120" w:after="120"/>
              <w:ind w:left="720" w:hanging="720"/>
              <w:rPr>
                <w:b/>
                <w:bCs/>
              </w:rPr>
            </w:pPr>
            <w:r w:rsidRPr="00DA193A">
              <w:rPr>
                <w:rFonts w:ascii="Arial" w:hAnsi="Arial" w:cs="Arial"/>
              </w:rPr>
              <w:t>(c)</w:t>
            </w:r>
            <w:r w:rsidRPr="00DA193A">
              <w:rPr>
                <w:rFonts w:ascii="Arial" w:hAnsi="Arial" w:cs="Arial"/>
              </w:rPr>
              <w:tab/>
            </w:r>
            <w:r w:rsidRPr="00DA193A">
              <w:rPr>
                <w:rFonts w:ascii="Arial" w:hAnsi="Arial" w:cs="Arial"/>
                <w:color w:val="000000"/>
              </w:rPr>
              <w:t>ensure that the identity of the reporter is not disclosed to the reported end-user or account holder (i.e., the individual who has been reported should not be able to see the person who reported them), without the reporter’s express consent</w:t>
            </w:r>
            <w:r w:rsidR="00301305" w:rsidRPr="00DA193A">
              <w:rPr>
                <w:rFonts w:ascii="Arial" w:hAnsi="Arial" w:cs="Arial"/>
                <w:color w:val="000000"/>
              </w:rPr>
              <w:t>, except as required by law</w:t>
            </w:r>
            <w:r w:rsidRPr="00DA193A">
              <w:rPr>
                <w:rFonts w:ascii="Arial" w:hAnsi="Arial" w:cs="Arial"/>
              </w:rPr>
              <w:t>.</w:t>
            </w:r>
          </w:p>
        </w:tc>
      </w:tr>
      <w:tr w:rsidR="00367724" w14:paraId="7B89A13B" w14:textId="77777777" w:rsidTr="0086295C">
        <w:tc>
          <w:tcPr>
            <w:tcW w:w="696" w:type="pct"/>
            <w:shd w:val="clear" w:color="auto" w:fill="FFFFFF" w:themeFill="background1"/>
          </w:tcPr>
          <w:p w14:paraId="289A23DF" w14:textId="77777777" w:rsidR="0008280D" w:rsidRPr="00DA193A" w:rsidRDefault="00FC159E" w:rsidP="0086295C">
            <w:pPr>
              <w:spacing w:before="120" w:after="120"/>
              <w:jc w:val="center"/>
            </w:pPr>
            <w:r w:rsidRPr="00DA193A">
              <w:rPr>
                <w:rFonts w:ascii="Arial" w:hAnsi="Arial" w:cs="Arial"/>
              </w:rPr>
              <w:t>9.</w:t>
            </w:r>
            <w:r w:rsidR="00B44D6B" w:rsidRPr="00DA193A">
              <w:rPr>
                <w:rFonts w:ascii="Arial" w:hAnsi="Arial" w:cs="Arial"/>
              </w:rPr>
              <w:t>4</w:t>
            </w:r>
          </w:p>
        </w:tc>
        <w:tc>
          <w:tcPr>
            <w:tcW w:w="776" w:type="pct"/>
            <w:shd w:val="clear" w:color="auto" w:fill="FFFFFF" w:themeFill="background1"/>
          </w:tcPr>
          <w:p w14:paraId="3C5EF136" w14:textId="77777777" w:rsidR="0008280D" w:rsidRPr="00DA193A" w:rsidRDefault="00FC159E" w:rsidP="0086295C">
            <w:pPr>
              <w:spacing w:before="120" w:after="120"/>
              <w:jc w:val="center"/>
              <w:rPr>
                <w:rFonts w:ascii="Arial" w:hAnsi="Arial" w:cs="Arial"/>
              </w:rPr>
            </w:pPr>
            <w:r w:rsidRPr="00DA193A">
              <w:rPr>
                <w:rFonts w:ascii="Arial" w:hAnsi="Arial" w:cs="Arial"/>
              </w:rPr>
              <w:t>online pornography</w:t>
            </w:r>
          </w:p>
          <w:p w14:paraId="21587E3C" w14:textId="77777777" w:rsidR="0008280D" w:rsidRPr="00DA193A" w:rsidRDefault="00FC159E" w:rsidP="0086295C">
            <w:pPr>
              <w:spacing w:before="120" w:after="120"/>
              <w:jc w:val="center"/>
              <w:rPr>
                <w:rFonts w:ascii="Arial" w:hAnsi="Arial" w:cs="Arial"/>
              </w:rPr>
            </w:pPr>
            <w:r w:rsidRPr="00DA193A">
              <w:rPr>
                <w:rFonts w:ascii="Arial" w:hAnsi="Arial" w:cs="Arial"/>
              </w:rPr>
              <w:t>self-harm material</w:t>
            </w:r>
          </w:p>
          <w:p w14:paraId="5AEF8090" w14:textId="77777777" w:rsidR="0008280D" w:rsidRPr="00DA193A" w:rsidRDefault="00FC159E" w:rsidP="0086295C">
            <w:pPr>
              <w:spacing w:before="120" w:after="120"/>
              <w:jc w:val="center"/>
              <w:rPr>
                <w:rFonts w:ascii="Arial" w:hAnsi="Arial" w:cs="Arial"/>
              </w:rPr>
            </w:pPr>
            <w:r w:rsidRPr="00DA193A">
              <w:rPr>
                <w:rFonts w:ascii="Arial" w:hAnsi="Arial" w:cs="Arial"/>
              </w:rPr>
              <w:t>high-impact violence material</w:t>
            </w:r>
          </w:p>
          <w:p w14:paraId="3123FA11" w14:textId="77777777" w:rsidR="0008280D" w:rsidRPr="00DA193A" w:rsidRDefault="00FC159E" w:rsidP="0086295C">
            <w:pPr>
              <w:spacing w:before="120" w:after="120"/>
              <w:jc w:val="center"/>
              <w:rPr>
                <w:rFonts w:ascii="Arial" w:hAnsi="Arial" w:cs="Arial"/>
              </w:rPr>
            </w:pPr>
            <w:r w:rsidRPr="00DA193A">
              <w:rPr>
                <w:rFonts w:ascii="Arial" w:hAnsi="Arial" w:cs="Arial"/>
              </w:rPr>
              <w:t>simulated</w:t>
            </w:r>
            <w:r w:rsidR="00C26D55" w:rsidRPr="00DA193A">
              <w:rPr>
                <w:rFonts w:ascii="Arial" w:hAnsi="Arial" w:cs="Arial"/>
              </w:rPr>
              <w:t xml:space="preserve"> </w:t>
            </w:r>
            <w:r w:rsidRPr="00DA193A">
              <w:rPr>
                <w:rFonts w:ascii="Arial" w:hAnsi="Arial" w:cs="Arial"/>
              </w:rPr>
              <w:t>gambling material</w:t>
            </w:r>
          </w:p>
        </w:tc>
        <w:tc>
          <w:tcPr>
            <w:tcW w:w="3528" w:type="pct"/>
            <w:shd w:val="clear" w:color="auto" w:fill="FFFFFF" w:themeFill="background1"/>
          </w:tcPr>
          <w:p w14:paraId="4C3D2B47" w14:textId="77777777" w:rsidR="0008280D" w:rsidRPr="00DA193A" w:rsidRDefault="00FC159E" w:rsidP="0086295C">
            <w:pPr>
              <w:pBdr>
                <w:top w:val="nil"/>
                <w:left w:val="nil"/>
                <w:bottom w:val="nil"/>
                <w:right w:val="nil"/>
                <w:between w:val="nil"/>
              </w:pBdr>
              <w:spacing w:before="120" w:after="120"/>
              <w:rPr>
                <w:rFonts w:ascii="Arial" w:hAnsi="Arial" w:cs="Arial"/>
                <w:b/>
                <w:bCs/>
              </w:rPr>
            </w:pPr>
            <w:r w:rsidRPr="00DA193A">
              <w:rPr>
                <w:rFonts w:ascii="Arial" w:hAnsi="Arial" w:cs="Arial"/>
                <w:b/>
                <w:bCs/>
              </w:rPr>
              <w:t xml:space="preserve">On-platform reporting tools </w:t>
            </w:r>
          </w:p>
          <w:p w14:paraId="61B2191C" w14:textId="77777777" w:rsidR="0008280D" w:rsidRPr="00DA193A" w:rsidRDefault="00FC159E" w:rsidP="0086295C">
            <w:pPr>
              <w:pBdr>
                <w:top w:val="nil"/>
                <w:left w:val="nil"/>
                <w:bottom w:val="nil"/>
                <w:right w:val="nil"/>
                <w:between w:val="nil"/>
              </w:pBdr>
              <w:spacing w:before="120" w:after="120"/>
              <w:rPr>
                <w:rFonts w:ascii="Arial" w:hAnsi="Arial" w:cs="Arial"/>
                <w:color w:val="000000"/>
              </w:rPr>
            </w:pPr>
            <w:r w:rsidRPr="00DA193A">
              <w:rPr>
                <w:rFonts w:ascii="Arial" w:hAnsi="Arial" w:cs="Arial"/>
              </w:rPr>
              <w:t xml:space="preserve">A service provider </w:t>
            </w:r>
            <w:r w:rsidRPr="00DA193A">
              <w:rPr>
                <w:rFonts w:ascii="Arial" w:hAnsi="Arial" w:cs="Arial"/>
                <w:color w:val="000000"/>
              </w:rPr>
              <w:t>must ensure that the reporting tools referred to in compliance measure 9.</w:t>
            </w:r>
            <w:r w:rsidR="00B44D6B" w:rsidRPr="00DA193A">
              <w:rPr>
                <w:rFonts w:ascii="Arial" w:hAnsi="Arial" w:cs="Arial"/>
                <w:color w:val="000000"/>
              </w:rPr>
              <w:t>3</w:t>
            </w:r>
            <w:r w:rsidRPr="00DA193A">
              <w:rPr>
                <w:rFonts w:ascii="Arial" w:hAnsi="Arial" w:cs="Arial"/>
                <w:color w:val="000000"/>
              </w:rPr>
              <w:t xml:space="preserve"> for class 1C and class 2 material are available and accessible to Australian end-users on the interface of the social media service.</w:t>
            </w:r>
          </w:p>
          <w:p w14:paraId="087A2A9B" w14:textId="77777777" w:rsidR="0008280D" w:rsidRPr="00DA193A" w:rsidRDefault="00FC159E" w:rsidP="0086295C">
            <w:pPr>
              <w:pBdr>
                <w:top w:val="nil"/>
                <w:left w:val="nil"/>
                <w:bottom w:val="nil"/>
                <w:right w:val="nil"/>
                <w:between w:val="nil"/>
              </w:pBdr>
              <w:spacing w:before="120" w:after="120"/>
              <w:rPr>
                <w:rFonts w:ascii="Arial" w:hAnsi="Arial" w:cs="Arial"/>
                <w:i/>
                <w:iCs/>
                <w:color w:val="000000"/>
              </w:rPr>
            </w:pPr>
            <w:r w:rsidRPr="00DA193A">
              <w:rPr>
                <w:rFonts w:ascii="Arial" w:hAnsi="Arial" w:cs="Arial"/>
                <w:b/>
                <w:bCs/>
                <w:i/>
                <w:iCs/>
                <w:color w:val="000000"/>
              </w:rPr>
              <w:t>Guidance</w:t>
            </w:r>
            <w:r w:rsidRPr="00DA193A">
              <w:rPr>
                <w:rFonts w:ascii="Arial" w:hAnsi="Arial" w:cs="Arial"/>
                <w:i/>
                <w:iCs/>
                <w:color w:val="000000"/>
              </w:rPr>
              <w:t xml:space="preserve">: </w:t>
            </w:r>
          </w:p>
          <w:p w14:paraId="51C13135" w14:textId="77777777" w:rsidR="0008280D" w:rsidRPr="00DA193A" w:rsidRDefault="00FC159E" w:rsidP="0086295C">
            <w:pPr>
              <w:spacing w:before="120" w:after="120"/>
              <w:rPr>
                <w:b/>
                <w:bCs/>
              </w:rPr>
            </w:pPr>
            <w:r w:rsidRPr="00DA193A">
              <w:rPr>
                <w:rFonts w:ascii="Arial" w:hAnsi="Arial" w:cs="Arial"/>
                <w:i/>
                <w:iCs/>
                <w:color w:val="000000"/>
              </w:rPr>
              <w:t>In implementing these measures, providers of a social media service should ensure that reporting tools are integrated within the functionality of the social media service in a manner that is visible and accessible at the point the Australian end-user accesses materials posted by other end-users.</w:t>
            </w:r>
          </w:p>
        </w:tc>
      </w:tr>
      <w:tr w:rsidR="00367724" w14:paraId="668496B0" w14:textId="77777777" w:rsidTr="00CC2B42">
        <w:tc>
          <w:tcPr>
            <w:tcW w:w="696" w:type="pct"/>
            <w:shd w:val="clear" w:color="auto" w:fill="FFFFFF" w:themeFill="background1"/>
          </w:tcPr>
          <w:p w14:paraId="69FB529C" w14:textId="77777777" w:rsidR="00CC2B42" w:rsidRPr="00DA193A" w:rsidRDefault="00FC159E" w:rsidP="00C3415E">
            <w:pPr>
              <w:spacing w:before="120" w:after="120"/>
              <w:jc w:val="center"/>
            </w:pPr>
            <w:r w:rsidRPr="00DA193A">
              <w:rPr>
                <w:rFonts w:ascii="Arial" w:hAnsi="Arial" w:cs="Arial"/>
              </w:rPr>
              <w:t>9.</w:t>
            </w:r>
            <w:r w:rsidR="00B44D6B" w:rsidRPr="00DA193A">
              <w:rPr>
                <w:rFonts w:ascii="Arial" w:hAnsi="Arial" w:cs="Arial"/>
              </w:rPr>
              <w:t>5</w:t>
            </w:r>
          </w:p>
        </w:tc>
        <w:tc>
          <w:tcPr>
            <w:tcW w:w="776" w:type="pct"/>
            <w:shd w:val="clear" w:color="auto" w:fill="FFFFFF" w:themeFill="background1"/>
          </w:tcPr>
          <w:p w14:paraId="699D2660" w14:textId="77777777" w:rsidR="00261F2D" w:rsidRPr="00DA193A" w:rsidRDefault="00FC159E" w:rsidP="00261F2D">
            <w:pPr>
              <w:spacing w:before="120" w:after="120"/>
              <w:jc w:val="center"/>
              <w:rPr>
                <w:rFonts w:ascii="Arial" w:hAnsi="Arial" w:cs="Arial"/>
              </w:rPr>
            </w:pPr>
            <w:r w:rsidRPr="00DA193A">
              <w:rPr>
                <w:rFonts w:ascii="Arial" w:hAnsi="Arial" w:cs="Arial"/>
              </w:rPr>
              <w:t>online pornography</w:t>
            </w:r>
          </w:p>
          <w:p w14:paraId="4CD62CCE" w14:textId="77777777" w:rsidR="00261F2D" w:rsidRPr="00DA193A" w:rsidRDefault="00FC159E" w:rsidP="00261F2D">
            <w:pPr>
              <w:spacing w:before="120" w:after="120"/>
              <w:jc w:val="center"/>
              <w:rPr>
                <w:rFonts w:ascii="Arial" w:hAnsi="Arial" w:cs="Arial"/>
              </w:rPr>
            </w:pPr>
            <w:r w:rsidRPr="00DA193A">
              <w:rPr>
                <w:rFonts w:ascii="Arial" w:hAnsi="Arial" w:cs="Arial"/>
              </w:rPr>
              <w:t>self-harm material</w:t>
            </w:r>
          </w:p>
          <w:p w14:paraId="4F81C54F" w14:textId="77777777" w:rsidR="00261F2D" w:rsidRPr="00DA193A" w:rsidRDefault="00FC159E" w:rsidP="00261F2D">
            <w:pPr>
              <w:spacing w:before="120" w:after="120"/>
              <w:jc w:val="center"/>
              <w:rPr>
                <w:rFonts w:ascii="Arial" w:hAnsi="Arial" w:cs="Arial"/>
              </w:rPr>
            </w:pPr>
            <w:r w:rsidRPr="00DA193A">
              <w:rPr>
                <w:rFonts w:ascii="Arial" w:hAnsi="Arial" w:cs="Arial"/>
              </w:rPr>
              <w:t>high-impact violence material</w:t>
            </w:r>
          </w:p>
          <w:p w14:paraId="407B45CF" w14:textId="77777777" w:rsidR="00CC2B42" w:rsidRPr="00DA193A" w:rsidRDefault="00FC159E" w:rsidP="00261F2D">
            <w:pPr>
              <w:spacing w:before="120" w:after="120"/>
              <w:jc w:val="center"/>
            </w:pPr>
            <w:r w:rsidRPr="00DA193A">
              <w:rPr>
                <w:rFonts w:ascii="Arial" w:hAnsi="Arial" w:cs="Arial"/>
              </w:rPr>
              <w:t>simulated gambling material</w:t>
            </w:r>
          </w:p>
        </w:tc>
        <w:tc>
          <w:tcPr>
            <w:tcW w:w="3528" w:type="pct"/>
            <w:shd w:val="clear" w:color="auto" w:fill="FFFFFF" w:themeFill="background1"/>
          </w:tcPr>
          <w:p w14:paraId="5431F56F" w14:textId="77777777" w:rsidR="00CC2B42" w:rsidRPr="00DA193A" w:rsidRDefault="00FC159E" w:rsidP="00C3415E">
            <w:pPr>
              <w:spacing w:before="120" w:after="120"/>
              <w:rPr>
                <w:rFonts w:ascii="Arial" w:hAnsi="Arial" w:cs="Arial"/>
                <w:b/>
                <w:bCs/>
              </w:rPr>
            </w:pPr>
            <w:r w:rsidRPr="00DA193A">
              <w:rPr>
                <w:rFonts w:ascii="Arial" w:hAnsi="Arial" w:cs="Arial"/>
                <w:b/>
                <w:bCs/>
              </w:rPr>
              <w:t>Complaints tools</w:t>
            </w:r>
          </w:p>
          <w:p w14:paraId="1BA177FF" w14:textId="77777777" w:rsidR="00CC2B42" w:rsidRPr="00DA193A" w:rsidRDefault="00FC159E" w:rsidP="00C3415E">
            <w:pPr>
              <w:spacing w:before="120" w:after="120"/>
              <w:rPr>
                <w:rFonts w:ascii="Arial" w:hAnsi="Arial" w:cs="Arial"/>
                <w:color w:val="000000"/>
              </w:rPr>
            </w:pPr>
            <w:r w:rsidRPr="00DA193A">
              <w:rPr>
                <w:rFonts w:ascii="Arial" w:hAnsi="Arial" w:cs="Arial"/>
              </w:rPr>
              <w:t xml:space="preserve">A service provider </w:t>
            </w:r>
            <w:r w:rsidRPr="00DA193A">
              <w:rPr>
                <w:rFonts w:ascii="Arial" w:hAnsi="Arial" w:cs="Arial"/>
                <w:color w:val="000000"/>
              </w:rPr>
              <w:t>must provide tools which enable Australian end-users to make a complaint about:</w:t>
            </w:r>
          </w:p>
          <w:p w14:paraId="1C852EDB" w14:textId="77777777" w:rsidR="00CC2B42" w:rsidRPr="00DA193A" w:rsidRDefault="00FC159E" w:rsidP="00AC4D4C">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the provider’s handling of reports about class 1C or class 2 material; or</w:t>
            </w:r>
          </w:p>
          <w:p w14:paraId="3C634A65" w14:textId="77777777" w:rsidR="00CC2B42" w:rsidRPr="00DA193A" w:rsidRDefault="00FC159E" w:rsidP="00AC4D4C">
            <w:pP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t>any other aspect of the provider’s compliance with this Code.</w:t>
            </w:r>
          </w:p>
          <w:p w14:paraId="4829DF6E" w14:textId="77777777" w:rsidR="00CC2B42" w:rsidRPr="00DA193A" w:rsidRDefault="00FC159E" w:rsidP="00C3415E">
            <w:pPr>
              <w:spacing w:before="120" w:after="120"/>
              <w:rPr>
                <w:rFonts w:ascii="Arial" w:hAnsi="Arial" w:cs="Arial"/>
                <w:color w:val="000000"/>
              </w:rPr>
            </w:pPr>
            <w:r w:rsidRPr="00DA193A">
              <w:rPr>
                <w:rFonts w:ascii="Arial" w:hAnsi="Arial" w:cs="Arial"/>
                <w:color w:val="000000"/>
              </w:rPr>
              <w:t>Such complaints tools must:</w:t>
            </w:r>
          </w:p>
          <w:p w14:paraId="096D5788" w14:textId="77777777" w:rsidR="00CC2B42" w:rsidRPr="00DA193A" w:rsidRDefault="00FC159E" w:rsidP="000937B8">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be easily accessible and simple to use; and</w:t>
            </w:r>
          </w:p>
          <w:p w14:paraId="42C3A458" w14:textId="77777777" w:rsidR="00CC2B42" w:rsidRPr="00DA193A" w:rsidRDefault="00FC159E" w:rsidP="000937B8">
            <w:pPr>
              <w:pBdr>
                <w:top w:val="nil"/>
                <w:left w:val="nil"/>
                <w:bottom w:val="nil"/>
                <w:right w:val="nil"/>
                <w:between w:val="nil"/>
              </w:pBdr>
              <w:tabs>
                <w:tab w:val="left" w:pos="705"/>
              </w:tabs>
              <w:spacing w:before="120" w:after="120"/>
              <w:ind w:left="705" w:hanging="705"/>
            </w:pPr>
            <w:r w:rsidRPr="00DA193A">
              <w:rPr>
                <w:rFonts w:ascii="Arial" w:hAnsi="Arial" w:cs="Arial"/>
              </w:rPr>
              <w:t>(b)</w:t>
            </w:r>
            <w:r w:rsidRPr="00DA193A">
              <w:rPr>
                <w:rFonts w:ascii="Arial" w:hAnsi="Arial" w:cs="Arial"/>
              </w:rPr>
              <w:tab/>
              <w:t>be accompanied by plain language instructions on how to use them.</w:t>
            </w:r>
          </w:p>
        </w:tc>
      </w:tr>
      <w:tr w:rsidR="00367724" w14:paraId="6AAD7A27" w14:textId="77777777" w:rsidTr="00906603">
        <w:tc>
          <w:tcPr>
            <w:tcW w:w="696" w:type="pct"/>
            <w:shd w:val="clear" w:color="auto" w:fill="FFFFFF" w:themeFill="background1"/>
          </w:tcPr>
          <w:p w14:paraId="0795CC29" w14:textId="77777777" w:rsidR="00F62F41" w:rsidRPr="00DA193A" w:rsidRDefault="00FC159E" w:rsidP="00906603">
            <w:pPr>
              <w:spacing w:before="120" w:after="120"/>
              <w:jc w:val="center"/>
            </w:pPr>
            <w:r w:rsidRPr="00DA193A">
              <w:rPr>
                <w:rFonts w:ascii="Arial" w:hAnsi="Arial" w:cs="Arial"/>
              </w:rPr>
              <w:t>9.</w:t>
            </w:r>
            <w:r w:rsidR="00B44D6B" w:rsidRPr="00DA193A">
              <w:rPr>
                <w:rFonts w:ascii="Arial" w:hAnsi="Arial" w:cs="Arial"/>
              </w:rPr>
              <w:t>6</w:t>
            </w:r>
          </w:p>
        </w:tc>
        <w:tc>
          <w:tcPr>
            <w:tcW w:w="776" w:type="pct"/>
            <w:shd w:val="clear" w:color="auto" w:fill="FFFFFF" w:themeFill="background1"/>
          </w:tcPr>
          <w:p w14:paraId="18C5FBCA" w14:textId="77777777" w:rsidR="00261F2D" w:rsidRPr="00DA193A" w:rsidRDefault="00FC159E" w:rsidP="00261F2D">
            <w:pPr>
              <w:spacing w:before="120" w:after="120"/>
              <w:jc w:val="center"/>
              <w:rPr>
                <w:rFonts w:ascii="Arial" w:hAnsi="Arial" w:cs="Arial"/>
              </w:rPr>
            </w:pPr>
            <w:r w:rsidRPr="00DA193A">
              <w:rPr>
                <w:rFonts w:ascii="Arial" w:hAnsi="Arial" w:cs="Arial"/>
              </w:rPr>
              <w:t>online pornography</w:t>
            </w:r>
          </w:p>
          <w:p w14:paraId="7E594560" w14:textId="77777777" w:rsidR="00261F2D" w:rsidRPr="00DA193A" w:rsidRDefault="00FC159E" w:rsidP="00261F2D">
            <w:pPr>
              <w:spacing w:before="120" w:after="120"/>
              <w:jc w:val="center"/>
              <w:rPr>
                <w:rFonts w:ascii="Arial" w:hAnsi="Arial" w:cs="Arial"/>
              </w:rPr>
            </w:pPr>
            <w:r w:rsidRPr="00DA193A">
              <w:rPr>
                <w:rFonts w:ascii="Arial" w:hAnsi="Arial" w:cs="Arial"/>
              </w:rPr>
              <w:t>self-harm material</w:t>
            </w:r>
          </w:p>
          <w:p w14:paraId="41C781A4" w14:textId="77777777" w:rsidR="00261F2D" w:rsidRPr="00DA193A" w:rsidRDefault="00FC159E" w:rsidP="00261F2D">
            <w:pPr>
              <w:spacing w:before="120" w:after="120"/>
              <w:jc w:val="center"/>
              <w:rPr>
                <w:rFonts w:ascii="Arial" w:hAnsi="Arial" w:cs="Arial"/>
              </w:rPr>
            </w:pPr>
            <w:r w:rsidRPr="00DA193A">
              <w:rPr>
                <w:rFonts w:ascii="Arial" w:hAnsi="Arial" w:cs="Arial"/>
              </w:rPr>
              <w:t>high-impact violence material</w:t>
            </w:r>
          </w:p>
          <w:p w14:paraId="1DC53D88" w14:textId="77777777" w:rsidR="00F62F41" w:rsidRPr="00DA193A" w:rsidRDefault="00FC159E" w:rsidP="00261F2D">
            <w:pPr>
              <w:spacing w:before="120" w:after="120"/>
              <w:jc w:val="center"/>
              <w:rPr>
                <w:rFonts w:ascii="Arial" w:hAnsi="Arial" w:cs="Arial"/>
              </w:rPr>
            </w:pPr>
            <w:r w:rsidRPr="00DA193A">
              <w:rPr>
                <w:rFonts w:ascii="Arial" w:hAnsi="Arial" w:cs="Arial"/>
              </w:rPr>
              <w:t>simulated gambling material</w:t>
            </w:r>
          </w:p>
        </w:tc>
        <w:tc>
          <w:tcPr>
            <w:tcW w:w="3528" w:type="pct"/>
            <w:shd w:val="clear" w:color="auto" w:fill="FFFFFF" w:themeFill="background1"/>
          </w:tcPr>
          <w:p w14:paraId="32D652CA" w14:textId="77777777" w:rsidR="003B75D3" w:rsidRPr="00DA193A" w:rsidRDefault="00FC159E" w:rsidP="003B75D3">
            <w:pPr>
              <w:spacing w:before="120" w:after="120"/>
              <w:rPr>
                <w:rFonts w:ascii="Arial" w:hAnsi="Arial" w:cs="Arial"/>
                <w:b/>
                <w:bCs/>
              </w:rPr>
            </w:pPr>
            <w:r w:rsidRPr="00DA193A">
              <w:rPr>
                <w:rFonts w:ascii="Arial" w:hAnsi="Arial" w:cs="Arial"/>
                <w:b/>
                <w:bCs/>
              </w:rPr>
              <w:t>Ap</w:t>
            </w:r>
            <w:bookmarkStart w:id="45" w:name="_Hlk185060796"/>
            <w:r w:rsidRPr="00DA193A">
              <w:rPr>
                <w:rFonts w:ascii="Arial" w:hAnsi="Arial" w:cs="Arial"/>
                <w:b/>
                <w:bCs/>
              </w:rPr>
              <w:t>propriate steps for informing Australian end-users about actions taken on reports and complaints</w:t>
            </w:r>
          </w:p>
          <w:p w14:paraId="6332D4B1" w14:textId="77777777" w:rsidR="003B75D3" w:rsidRPr="00DA193A" w:rsidRDefault="00FC159E" w:rsidP="003B75D3">
            <w:pPr>
              <w:spacing w:before="120" w:after="120"/>
              <w:rPr>
                <w:rFonts w:ascii="Arial" w:hAnsi="Arial" w:cs="Arial"/>
                <w:color w:val="000000"/>
              </w:rPr>
            </w:pPr>
            <w:r w:rsidRPr="00DA193A">
              <w:rPr>
                <w:rFonts w:ascii="Arial" w:hAnsi="Arial" w:cs="Arial"/>
                <w:color w:val="000000"/>
              </w:rPr>
              <w:t xml:space="preserve">A service provider must take appropriate steps to acknowledge a report </w:t>
            </w:r>
            <w:r w:rsidR="004959E6">
              <w:rPr>
                <w:rFonts w:ascii="Arial" w:hAnsi="Arial" w:cs="Arial"/>
                <w:color w:val="000000"/>
              </w:rPr>
              <w:t>referred to in compliance measure</w:t>
            </w:r>
            <w:r w:rsidR="00DD0DD6">
              <w:rPr>
                <w:rFonts w:ascii="Arial" w:hAnsi="Arial" w:cs="Arial"/>
                <w:color w:val="000000"/>
              </w:rPr>
              <w:t> </w:t>
            </w:r>
            <w:r w:rsidR="004959E6">
              <w:rPr>
                <w:rFonts w:ascii="Arial" w:hAnsi="Arial" w:cs="Arial"/>
                <w:color w:val="000000"/>
              </w:rPr>
              <w:t xml:space="preserve">9.3 </w:t>
            </w:r>
            <w:r w:rsidRPr="00DA193A">
              <w:rPr>
                <w:rFonts w:ascii="Arial" w:hAnsi="Arial" w:cs="Arial"/>
                <w:color w:val="000000"/>
              </w:rPr>
              <w:t>or complaint referred to in compliance measure 9.5 and must ensure that an Australian end-user who makes such a report or complaint is informed in a reasonably timely manner of the outcome of the report or the complaint</w:t>
            </w:r>
            <w:r w:rsidR="0034288E">
              <w:rPr>
                <w:rFonts w:ascii="Arial" w:hAnsi="Arial" w:cs="Arial"/>
                <w:color w:val="000000"/>
              </w:rPr>
              <w:t>, and of any review mechanisms that are available,</w:t>
            </w:r>
            <w:r w:rsidRPr="00DA193A">
              <w:rPr>
                <w:rFonts w:ascii="Arial" w:hAnsi="Arial" w:cs="Arial"/>
                <w:color w:val="000000"/>
              </w:rPr>
              <w:t xml:space="preserve"> or is otherwise able to access information about the status of the report or the complaint.</w:t>
            </w:r>
          </w:p>
          <w:p w14:paraId="301664D1" w14:textId="77777777" w:rsidR="003B75D3" w:rsidRPr="00DA193A" w:rsidRDefault="00FC159E" w:rsidP="003B75D3">
            <w:pPr>
              <w:spacing w:before="120" w:after="120"/>
              <w:rPr>
                <w:rFonts w:ascii="Arial" w:hAnsi="Arial" w:cs="Arial"/>
                <w:b/>
                <w:bCs/>
                <w:i/>
                <w:iCs/>
              </w:rPr>
            </w:pPr>
            <w:r w:rsidRPr="00DA193A">
              <w:rPr>
                <w:rFonts w:ascii="Arial" w:hAnsi="Arial" w:cs="Arial"/>
                <w:b/>
                <w:bCs/>
                <w:i/>
                <w:iCs/>
              </w:rPr>
              <w:t>Guidance</w:t>
            </w:r>
            <w:r w:rsidRPr="00DA193A">
              <w:rPr>
                <w:rFonts w:ascii="Arial" w:hAnsi="Arial" w:cs="Arial"/>
                <w:i/>
                <w:iCs/>
              </w:rPr>
              <w:t>:</w:t>
            </w:r>
          </w:p>
          <w:p w14:paraId="66266996" w14:textId="77777777" w:rsidR="00F62F41" w:rsidRPr="00DA193A" w:rsidRDefault="00FC159E" w:rsidP="00906603">
            <w:pPr>
              <w:spacing w:before="120" w:after="120"/>
              <w:rPr>
                <w:rFonts w:ascii="Arial" w:hAnsi="Arial" w:cs="Arial"/>
                <w:i/>
                <w:iCs/>
                <w:color w:val="000000"/>
              </w:rPr>
            </w:pPr>
            <w:r w:rsidRPr="00DA193A">
              <w:rPr>
                <w:rFonts w:ascii="Arial" w:hAnsi="Arial" w:cs="Arial"/>
                <w:i/>
                <w:iCs/>
                <w:color w:val="000000"/>
              </w:rPr>
              <w:t>The way a service provider implements this measure and the timeliness of the actions required under this measure will depend on the type of material reported, the likelihood of harm that it poses to Australian end-users, the source of the report and the risk profile of the provider of the social media service.</w:t>
            </w:r>
            <w:bookmarkEnd w:id="45"/>
          </w:p>
        </w:tc>
      </w:tr>
      <w:tr w:rsidR="00367724" w14:paraId="690EAAA8" w14:textId="77777777" w:rsidTr="00906603">
        <w:tc>
          <w:tcPr>
            <w:tcW w:w="696" w:type="pct"/>
            <w:shd w:val="clear" w:color="auto" w:fill="FFFFFF" w:themeFill="background1"/>
          </w:tcPr>
          <w:p w14:paraId="1C342221" w14:textId="77777777" w:rsidR="00567DAA" w:rsidRPr="00DA193A" w:rsidRDefault="00FC159E" w:rsidP="00906603">
            <w:pPr>
              <w:spacing w:before="120" w:after="120"/>
              <w:jc w:val="center"/>
            </w:pPr>
            <w:r w:rsidRPr="00DA193A">
              <w:rPr>
                <w:rFonts w:ascii="Arial" w:hAnsi="Arial" w:cs="Arial"/>
              </w:rPr>
              <w:t>9.</w:t>
            </w:r>
            <w:r w:rsidR="00B44D6B" w:rsidRPr="00DA193A">
              <w:rPr>
                <w:rFonts w:ascii="Arial" w:hAnsi="Arial" w:cs="Arial"/>
              </w:rPr>
              <w:t>7</w:t>
            </w:r>
          </w:p>
        </w:tc>
        <w:tc>
          <w:tcPr>
            <w:tcW w:w="776" w:type="pct"/>
            <w:shd w:val="clear" w:color="auto" w:fill="FFFFFF" w:themeFill="background1"/>
          </w:tcPr>
          <w:p w14:paraId="170E1E6A" w14:textId="77777777" w:rsidR="00261F2D" w:rsidRPr="00DA193A" w:rsidRDefault="00FC159E" w:rsidP="00261F2D">
            <w:pPr>
              <w:spacing w:before="120" w:after="120"/>
              <w:jc w:val="center"/>
              <w:rPr>
                <w:rFonts w:ascii="Arial" w:hAnsi="Arial" w:cs="Arial"/>
              </w:rPr>
            </w:pPr>
            <w:r w:rsidRPr="00DA193A">
              <w:rPr>
                <w:rFonts w:ascii="Arial" w:hAnsi="Arial" w:cs="Arial"/>
              </w:rPr>
              <w:t>online pornography</w:t>
            </w:r>
          </w:p>
          <w:p w14:paraId="13B1747E" w14:textId="77777777" w:rsidR="00261F2D" w:rsidRPr="00DA193A" w:rsidRDefault="00FC159E" w:rsidP="00261F2D">
            <w:pPr>
              <w:spacing w:before="120" w:after="120"/>
              <w:jc w:val="center"/>
              <w:rPr>
                <w:rFonts w:ascii="Arial" w:hAnsi="Arial" w:cs="Arial"/>
              </w:rPr>
            </w:pPr>
            <w:r w:rsidRPr="00DA193A">
              <w:rPr>
                <w:rFonts w:ascii="Arial" w:hAnsi="Arial" w:cs="Arial"/>
              </w:rPr>
              <w:t>self-harm material</w:t>
            </w:r>
          </w:p>
          <w:p w14:paraId="19CED127" w14:textId="77777777" w:rsidR="00261F2D" w:rsidRPr="00DA193A" w:rsidRDefault="00FC159E" w:rsidP="00261F2D">
            <w:pPr>
              <w:spacing w:before="120" w:after="120"/>
              <w:jc w:val="center"/>
              <w:rPr>
                <w:rFonts w:ascii="Arial" w:hAnsi="Arial" w:cs="Arial"/>
              </w:rPr>
            </w:pPr>
            <w:r w:rsidRPr="00DA193A">
              <w:rPr>
                <w:rFonts w:ascii="Arial" w:hAnsi="Arial" w:cs="Arial"/>
              </w:rPr>
              <w:t>high-impact violence material</w:t>
            </w:r>
          </w:p>
          <w:p w14:paraId="2E3A94AB" w14:textId="77777777" w:rsidR="00567DAA" w:rsidRPr="00DA193A" w:rsidRDefault="00FC159E" w:rsidP="00261F2D">
            <w:pPr>
              <w:spacing w:before="120" w:after="120"/>
              <w:jc w:val="center"/>
              <w:rPr>
                <w:rFonts w:ascii="Arial" w:hAnsi="Arial" w:cs="Arial"/>
              </w:rPr>
            </w:pPr>
            <w:r w:rsidRPr="00DA193A">
              <w:rPr>
                <w:rFonts w:ascii="Arial" w:hAnsi="Arial" w:cs="Arial"/>
              </w:rPr>
              <w:t>simulated gambling material</w:t>
            </w:r>
          </w:p>
        </w:tc>
        <w:tc>
          <w:tcPr>
            <w:tcW w:w="3528" w:type="pct"/>
            <w:shd w:val="clear" w:color="auto" w:fill="FFFFFF" w:themeFill="background1"/>
          </w:tcPr>
          <w:p w14:paraId="18663340" w14:textId="77777777" w:rsidR="00567DAA" w:rsidRPr="00DA193A" w:rsidRDefault="00FC159E" w:rsidP="00906603">
            <w:pPr>
              <w:spacing w:before="120" w:after="120"/>
              <w:rPr>
                <w:rFonts w:ascii="Arial" w:hAnsi="Arial" w:cs="Arial"/>
                <w:b/>
                <w:bCs/>
              </w:rPr>
            </w:pPr>
            <w:r w:rsidRPr="00DA193A">
              <w:rPr>
                <w:rFonts w:ascii="Arial" w:hAnsi="Arial" w:cs="Arial"/>
                <w:b/>
                <w:bCs/>
              </w:rPr>
              <w:t>Training for personnel responding to reports</w:t>
            </w:r>
            <w:r w:rsidR="000B5F37" w:rsidRPr="00DA193A">
              <w:rPr>
                <w:rFonts w:ascii="Arial" w:hAnsi="Arial" w:cs="Arial"/>
                <w:b/>
                <w:bCs/>
              </w:rPr>
              <w:t xml:space="preserve"> and complaints</w:t>
            </w:r>
          </w:p>
          <w:p w14:paraId="23C8CA89" w14:textId="77777777" w:rsidR="00567DAA" w:rsidRPr="00DA193A" w:rsidRDefault="00FC159E" w:rsidP="00906603">
            <w:pPr>
              <w:spacing w:before="120" w:after="120"/>
              <w:rPr>
                <w:b/>
                <w:bCs/>
              </w:rPr>
            </w:pPr>
            <w:r w:rsidRPr="00DA193A">
              <w:rPr>
                <w:rFonts w:ascii="Arial" w:hAnsi="Arial" w:cs="Arial"/>
              </w:rPr>
              <w:t xml:space="preserve">A service provider </w:t>
            </w:r>
            <w:r w:rsidRPr="00DA193A">
              <w:rPr>
                <w:rFonts w:ascii="Arial" w:hAnsi="Arial" w:cs="Arial"/>
                <w:color w:val="000000"/>
              </w:rPr>
              <w:t xml:space="preserve">must ensure that personnel responding to </w:t>
            </w:r>
            <w:r w:rsidR="000B5F37" w:rsidRPr="00DA193A">
              <w:rPr>
                <w:rFonts w:ascii="Arial" w:hAnsi="Arial" w:cs="Arial"/>
                <w:color w:val="000000"/>
              </w:rPr>
              <w:t>reports referred to in compliance measure 9.3 or complaints referred to in compliance measure 9.5</w:t>
            </w:r>
            <w:r w:rsidR="00A46445" w:rsidRPr="00DA193A">
              <w:rPr>
                <w:rFonts w:ascii="Arial" w:hAnsi="Arial" w:cs="Arial"/>
                <w:color w:val="000000"/>
              </w:rPr>
              <w:t xml:space="preserve"> </w:t>
            </w:r>
            <w:r w:rsidRPr="00DA193A">
              <w:rPr>
                <w:rFonts w:ascii="Arial" w:hAnsi="Arial" w:cs="Arial"/>
                <w:color w:val="000000"/>
              </w:rPr>
              <w:t xml:space="preserve">are trained in the social media service’s policies and procedures for dealing with </w:t>
            </w:r>
            <w:r w:rsidR="000B5F37" w:rsidRPr="00DA193A">
              <w:rPr>
                <w:rFonts w:ascii="Arial" w:hAnsi="Arial" w:cs="Arial"/>
                <w:color w:val="000000"/>
              </w:rPr>
              <w:t xml:space="preserve">such </w:t>
            </w:r>
            <w:r w:rsidRPr="00DA193A">
              <w:rPr>
                <w:rFonts w:ascii="Arial" w:hAnsi="Arial" w:cs="Arial"/>
                <w:color w:val="000000"/>
              </w:rPr>
              <w:t>reports</w:t>
            </w:r>
            <w:r w:rsidR="000B5F37" w:rsidRPr="00DA193A">
              <w:rPr>
                <w:rFonts w:ascii="Arial" w:hAnsi="Arial" w:cs="Arial"/>
                <w:color w:val="000000"/>
              </w:rPr>
              <w:t xml:space="preserve"> and complaints</w:t>
            </w:r>
            <w:r w:rsidRPr="00DA193A">
              <w:rPr>
                <w:rFonts w:ascii="Arial" w:hAnsi="Arial" w:cs="Arial"/>
                <w:color w:val="000000"/>
              </w:rPr>
              <w:t>.</w:t>
            </w:r>
          </w:p>
        </w:tc>
      </w:tr>
      <w:tr w:rsidR="00367724" w14:paraId="2233D2C7" w14:textId="77777777" w:rsidTr="00906603">
        <w:tc>
          <w:tcPr>
            <w:tcW w:w="696" w:type="pct"/>
            <w:shd w:val="clear" w:color="auto" w:fill="FFFFFF" w:themeFill="background1"/>
          </w:tcPr>
          <w:p w14:paraId="72B5D468" w14:textId="77777777" w:rsidR="00567DAA" w:rsidRPr="00DA193A" w:rsidRDefault="00FC159E" w:rsidP="00906603">
            <w:pPr>
              <w:spacing w:before="120" w:after="120"/>
              <w:jc w:val="center"/>
            </w:pPr>
            <w:r w:rsidRPr="00DA193A">
              <w:rPr>
                <w:rFonts w:ascii="Arial" w:hAnsi="Arial" w:cs="Arial"/>
              </w:rPr>
              <w:t>9.</w:t>
            </w:r>
            <w:r w:rsidR="00B44D6B" w:rsidRPr="00DA193A">
              <w:rPr>
                <w:rFonts w:ascii="Arial" w:hAnsi="Arial" w:cs="Arial"/>
              </w:rPr>
              <w:t>8</w:t>
            </w:r>
          </w:p>
        </w:tc>
        <w:tc>
          <w:tcPr>
            <w:tcW w:w="776" w:type="pct"/>
            <w:shd w:val="clear" w:color="auto" w:fill="FFFFFF" w:themeFill="background1"/>
          </w:tcPr>
          <w:p w14:paraId="44A290C4" w14:textId="77777777" w:rsidR="00261F2D" w:rsidRPr="00DA193A" w:rsidRDefault="00FC159E" w:rsidP="00261F2D">
            <w:pPr>
              <w:spacing w:before="120" w:after="120"/>
              <w:jc w:val="center"/>
              <w:rPr>
                <w:rFonts w:ascii="Arial" w:hAnsi="Arial" w:cs="Arial"/>
              </w:rPr>
            </w:pPr>
            <w:r w:rsidRPr="00DA193A">
              <w:rPr>
                <w:rFonts w:ascii="Arial" w:hAnsi="Arial" w:cs="Arial"/>
              </w:rPr>
              <w:t>online pornography</w:t>
            </w:r>
          </w:p>
          <w:p w14:paraId="2B989A21" w14:textId="77777777" w:rsidR="00261F2D" w:rsidRPr="00DA193A" w:rsidRDefault="00FC159E" w:rsidP="00261F2D">
            <w:pPr>
              <w:spacing w:before="120" w:after="120"/>
              <w:jc w:val="center"/>
              <w:rPr>
                <w:rFonts w:ascii="Arial" w:hAnsi="Arial" w:cs="Arial"/>
              </w:rPr>
            </w:pPr>
            <w:r w:rsidRPr="00DA193A">
              <w:rPr>
                <w:rFonts w:ascii="Arial" w:hAnsi="Arial" w:cs="Arial"/>
              </w:rPr>
              <w:t>self-harm material</w:t>
            </w:r>
          </w:p>
          <w:p w14:paraId="185D9F2F" w14:textId="77777777" w:rsidR="00261F2D" w:rsidRPr="00DA193A" w:rsidRDefault="00FC159E" w:rsidP="00261F2D">
            <w:pPr>
              <w:spacing w:before="120" w:after="120"/>
              <w:jc w:val="center"/>
              <w:rPr>
                <w:rFonts w:ascii="Arial" w:hAnsi="Arial" w:cs="Arial"/>
              </w:rPr>
            </w:pPr>
            <w:r w:rsidRPr="00DA193A">
              <w:rPr>
                <w:rFonts w:ascii="Arial" w:hAnsi="Arial" w:cs="Arial"/>
              </w:rPr>
              <w:t>high-impact violence material</w:t>
            </w:r>
          </w:p>
          <w:p w14:paraId="5AB09495" w14:textId="77777777" w:rsidR="00567DAA" w:rsidRPr="00DA193A" w:rsidRDefault="00FC159E" w:rsidP="00261F2D">
            <w:pPr>
              <w:spacing w:before="120" w:after="120"/>
              <w:jc w:val="center"/>
              <w:rPr>
                <w:rFonts w:ascii="Arial" w:hAnsi="Arial" w:cs="Arial"/>
              </w:rPr>
            </w:pPr>
            <w:r w:rsidRPr="00DA193A">
              <w:rPr>
                <w:rFonts w:ascii="Arial" w:hAnsi="Arial" w:cs="Arial"/>
              </w:rPr>
              <w:t>simulated gambling material</w:t>
            </w:r>
          </w:p>
        </w:tc>
        <w:tc>
          <w:tcPr>
            <w:tcW w:w="3528" w:type="pct"/>
            <w:shd w:val="clear" w:color="auto" w:fill="FFFFFF" w:themeFill="background1"/>
          </w:tcPr>
          <w:p w14:paraId="4340EF0C" w14:textId="77777777" w:rsidR="00567DAA" w:rsidRPr="00DA193A" w:rsidRDefault="00FC159E" w:rsidP="00906603">
            <w:pPr>
              <w:spacing w:before="120" w:after="120"/>
              <w:rPr>
                <w:rFonts w:ascii="Arial" w:hAnsi="Arial" w:cs="Arial"/>
                <w:b/>
                <w:bCs/>
              </w:rPr>
            </w:pPr>
            <w:r w:rsidRPr="00DA193A">
              <w:rPr>
                <w:rFonts w:ascii="Arial" w:hAnsi="Arial" w:cs="Arial"/>
                <w:b/>
                <w:bCs/>
              </w:rPr>
              <w:t>Reviews of compliance of personnel with systems and processes</w:t>
            </w:r>
          </w:p>
          <w:p w14:paraId="2D1F6DD0" w14:textId="77777777" w:rsidR="00567DAA" w:rsidRPr="00DA193A" w:rsidRDefault="00FC159E" w:rsidP="00906603">
            <w:pPr>
              <w:spacing w:before="120" w:after="120"/>
              <w:rPr>
                <w:rFonts w:ascii="Arial" w:hAnsi="Arial" w:cs="Arial"/>
                <w:color w:val="000000"/>
              </w:rPr>
            </w:pPr>
            <w:r w:rsidRPr="00DA193A">
              <w:rPr>
                <w:rFonts w:ascii="Arial" w:hAnsi="Arial" w:cs="Arial"/>
              </w:rPr>
              <w:t xml:space="preserve">A service provider </w:t>
            </w:r>
            <w:r w:rsidRPr="00DA193A">
              <w:rPr>
                <w:rFonts w:ascii="Arial" w:hAnsi="Arial" w:cs="Arial"/>
                <w:color w:val="000000"/>
              </w:rPr>
              <w:t xml:space="preserve">must review the effectiveness of its reporting </w:t>
            </w:r>
            <w:r w:rsidR="00D61822" w:rsidRPr="00DA193A">
              <w:rPr>
                <w:rFonts w:ascii="Arial" w:hAnsi="Arial" w:cs="Arial"/>
                <w:color w:val="000000"/>
              </w:rPr>
              <w:t xml:space="preserve">systems and processes </w:t>
            </w:r>
            <w:r w:rsidRPr="00DA193A">
              <w:rPr>
                <w:rFonts w:ascii="Arial" w:hAnsi="Arial" w:cs="Arial"/>
                <w:color w:val="000000"/>
              </w:rPr>
              <w:t xml:space="preserve">to ensure reports </w:t>
            </w:r>
            <w:r w:rsidR="00D61822" w:rsidRPr="00DA193A">
              <w:rPr>
                <w:rFonts w:ascii="Arial" w:hAnsi="Arial" w:cs="Arial"/>
                <w:color w:val="000000"/>
              </w:rPr>
              <w:t xml:space="preserve">and complaints </w:t>
            </w:r>
            <w:r w:rsidRPr="00DA193A">
              <w:rPr>
                <w:rFonts w:ascii="Arial" w:hAnsi="Arial" w:cs="Arial"/>
                <w:color w:val="000000"/>
              </w:rPr>
              <w:t>are assessed and actioned (if necessary) within reasonably expeditious timeframes, based on the level of harm the material poses to Australian children. Such review must occur at least annually.</w:t>
            </w:r>
          </w:p>
          <w:p w14:paraId="29C47EDC" w14:textId="77777777" w:rsidR="00D019DC" w:rsidRPr="00DA193A" w:rsidRDefault="00FC159E" w:rsidP="00D019DC">
            <w:pPr>
              <w:spacing w:before="120" w:after="120"/>
              <w:rPr>
                <w:rFonts w:ascii="Arial" w:hAnsi="Arial" w:cs="Arial"/>
                <w:b/>
                <w:bCs/>
                <w:i/>
                <w:iCs/>
                <w:color w:val="000000"/>
                <w:lang w:eastAsia="en-AU"/>
              </w:rPr>
            </w:pPr>
            <w:r w:rsidRPr="00DA193A">
              <w:rPr>
                <w:rFonts w:ascii="Arial" w:hAnsi="Arial" w:cs="Arial"/>
                <w:b/>
                <w:bCs/>
                <w:i/>
                <w:iCs/>
                <w:color w:val="000000"/>
                <w:lang w:eastAsia="en-AU"/>
              </w:rPr>
              <w:t>Guidance:</w:t>
            </w:r>
          </w:p>
          <w:p w14:paraId="72437D89" w14:textId="77777777" w:rsidR="00D019DC" w:rsidRPr="00DA193A" w:rsidRDefault="00FC159E" w:rsidP="00D019DC">
            <w:pPr>
              <w:spacing w:before="120" w:after="120"/>
              <w:rPr>
                <w:b/>
                <w:bCs/>
              </w:rPr>
            </w:pPr>
            <w:r w:rsidRPr="00DA193A">
              <w:rPr>
                <w:rFonts w:ascii="Arial" w:hAnsi="Arial" w:cs="Arial"/>
                <w:i/>
                <w:iCs/>
                <w:color w:val="000000"/>
                <w:lang w:eastAsia="en-AU"/>
              </w:rPr>
              <w:t>This could include review and analysis of data collected for the year (eg responses and outcomes) as well as submitting test reports via the contact mechanism to review handling and response.</w:t>
            </w:r>
          </w:p>
        </w:tc>
      </w:tr>
      <w:tr w:rsidR="00367724" w14:paraId="45A11263" w14:textId="77777777" w:rsidTr="00CC2B42">
        <w:tc>
          <w:tcPr>
            <w:tcW w:w="696" w:type="pct"/>
            <w:shd w:val="clear" w:color="auto" w:fill="FFFFFF" w:themeFill="background1"/>
          </w:tcPr>
          <w:p w14:paraId="3929E63F" w14:textId="77777777" w:rsidR="00CC2B42" w:rsidRPr="00DA193A" w:rsidRDefault="00FC159E" w:rsidP="006F0B23">
            <w:pPr>
              <w:spacing w:before="120" w:after="120"/>
              <w:jc w:val="center"/>
            </w:pPr>
            <w:r w:rsidRPr="00DA193A">
              <w:rPr>
                <w:rFonts w:ascii="Arial" w:hAnsi="Arial" w:cs="Arial"/>
              </w:rPr>
              <w:t>9.</w:t>
            </w:r>
            <w:r w:rsidR="00F62F41" w:rsidRPr="00DA193A">
              <w:rPr>
                <w:rFonts w:ascii="Arial" w:hAnsi="Arial" w:cs="Arial"/>
              </w:rPr>
              <w:t>9</w:t>
            </w:r>
          </w:p>
        </w:tc>
        <w:tc>
          <w:tcPr>
            <w:tcW w:w="776" w:type="pct"/>
            <w:shd w:val="clear" w:color="auto" w:fill="FFFFFF" w:themeFill="background1"/>
          </w:tcPr>
          <w:p w14:paraId="1772E371" w14:textId="77777777" w:rsidR="00261F2D" w:rsidRPr="00DA193A" w:rsidRDefault="00FC159E" w:rsidP="00261F2D">
            <w:pPr>
              <w:spacing w:before="120" w:after="120"/>
              <w:jc w:val="center"/>
              <w:rPr>
                <w:rFonts w:ascii="Arial" w:hAnsi="Arial" w:cs="Arial"/>
              </w:rPr>
            </w:pPr>
            <w:r w:rsidRPr="00DA193A">
              <w:rPr>
                <w:rFonts w:ascii="Arial" w:hAnsi="Arial" w:cs="Arial"/>
              </w:rPr>
              <w:t>online pornography</w:t>
            </w:r>
          </w:p>
          <w:p w14:paraId="2D8C36C0" w14:textId="77777777" w:rsidR="00261F2D" w:rsidRPr="00DA193A" w:rsidRDefault="00FC159E" w:rsidP="00261F2D">
            <w:pPr>
              <w:spacing w:before="120" w:after="120"/>
              <w:jc w:val="center"/>
              <w:rPr>
                <w:rFonts w:ascii="Arial" w:hAnsi="Arial" w:cs="Arial"/>
              </w:rPr>
            </w:pPr>
            <w:r w:rsidRPr="00DA193A">
              <w:rPr>
                <w:rFonts w:ascii="Arial" w:hAnsi="Arial" w:cs="Arial"/>
              </w:rPr>
              <w:t>self-harm material</w:t>
            </w:r>
          </w:p>
          <w:p w14:paraId="771D2F46" w14:textId="77777777" w:rsidR="00261F2D" w:rsidRPr="00DA193A" w:rsidRDefault="00FC159E" w:rsidP="00261F2D">
            <w:pPr>
              <w:spacing w:before="120" w:after="120"/>
              <w:jc w:val="center"/>
              <w:rPr>
                <w:rFonts w:ascii="Arial" w:hAnsi="Arial" w:cs="Arial"/>
              </w:rPr>
            </w:pPr>
            <w:r w:rsidRPr="00DA193A">
              <w:rPr>
                <w:rFonts w:ascii="Arial" w:hAnsi="Arial" w:cs="Arial"/>
              </w:rPr>
              <w:t>high-impact violence material</w:t>
            </w:r>
          </w:p>
          <w:p w14:paraId="35AB943B" w14:textId="77777777" w:rsidR="00CC2B42" w:rsidRPr="00DA193A" w:rsidRDefault="00FC159E" w:rsidP="00261F2D">
            <w:pPr>
              <w:spacing w:before="120" w:after="120"/>
              <w:jc w:val="center"/>
              <w:rPr>
                <w:rFonts w:ascii="Arial" w:hAnsi="Arial" w:cs="Arial"/>
              </w:rPr>
            </w:pPr>
            <w:r w:rsidRPr="00DA193A">
              <w:rPr>
                <w:rFonts w:ascii="Arial" w:hAnsi="Arial" w:cs="Arial"/>
              </w:rPr>
              <w:t>simulated gambling material</w:t>
            </w:r>
          </w:p>
        </w:tc>
        <w:tc>
          <w:tcPr>
            <w:tcW w:w="3528" w:type="pct"/>
            <w:shd w:val="clear" w:color="auto" w:fill="FFFFFF" w:themeFill="background1"/>
          </w:tcPr>
          <w:p w14:paraId="12626265" w14:textId="77777777" w:rsidR="00CC2B42" w:rsidRPr="00DA193A" w:rsidRDefault="00FC159E" w:rsidP="006F0B23">
            <w:pPr>
              <w:pBdr>
                <w:top w:val="nil"/>
                <w:left w:val="nil"/>
                <w:bottom w:val="nil"/>
                <w:right w:val="nil"/>
                <w:between w:val="nil"/>
              </w:pBdr>
              <w:spacing w:before="120" w:after="120"/>
              <w:rPr>
                <w:rFonts w:ascii="Arial" w:hAnsi="Arial" w:cs="Arial"/>
                <w:b/>
                <w:bCs/>
              </w:rPr>
            </w:pPr>
            <w:r w:rsidRPr="00DA193A">
              <w:rPr>
                <w:rFonts w:ascii="Arial" w:hAnsi="Arial" w:cs="Arial"/>
                <w:b/>
                <w:bCs/>
              </w:rPr>
              <w:t>Timely referral of unresolved complaints to eSafety</w:t>
            </w:r>
          </w:p>
          <w:p w14:paraId="636570B1" w14:textId="77777777" w:rsidR="00CC2B42" w:rsidRPr="00DA193A" w:rsidRDefault="00FC159E" w:rsidP="00217E19">
            <w:pPr>
              <w:pBdr>
                <w:top w:val="nil"/>
                <w:left w:val="nil"/>
                <w:bottom w:val="nil"/>
                <w:right w:val="nil"/>
                <w:between w:val="nil"/>
              </w:pBdr>
              <w:spacing w:before="120" w:after="120"/>
              <w:rPr>
                <w:i/>
                <w:iCs/>
              </w:rPr>
            </w:pPr>
            <w:r w:rsidRPr="00DA193A">
              <w:rPr>
                <w:rFonts w:ascii="Arial" w:hAnsi="Arial" w:cs="Arial"/>
              </w:rPr>
              <w:t>A service provider</w:t>
            </w:r>
            <w:r w:rsidRPr="00DA193A">
              <w:rPr>
                <w:rFonts w:ascii="Arial" w:hAnsi="Arial" w:cs="Arial"/>
                <w:color w:val="000000"/>
              </w:rPr>
              <w:t xml:space="preserve"> must promptly refer to eSafety complaints from Australian end-users concerning a material non-compliance with this Code by the service provider, where the service provider is unable to resolve the complaint</w:t>
            </w:r>
            <w:r w:rsidR="00AE3FB3">
              <w:rPr>
                <w:rFonts w:ascii="Arial" w:hAnsi="Arial" w:cs="Arial"/>
                <w:color w:val="000000"/>
              </w:rPr>
              <w:t xml:space="preserve"> within a reasonable timeframe</w:t>
            </w:r>
            <w:r w:rsidRPr="00DA193A">
              <w:rPr>
                <w:rFonts w:ascii="Arial" w:hAnsi="Arial" w:cs="Arial"/>
                <w:color w:val="000000"/>
              </w:rPr>
              <w:t xml:space="preserve">. </w:t>
            </w:r>
          </w:p>
        </w:tc>
      </w:tr>
      <w:tr w:rsidR="00367724" w14:paraId="65F19C12" w14:textId="77777777" w:rsidTr="00906603">
        <w:tc>
          <w:tcPr>
            <w:tcW w:w="696" w:type="pct"/>
            <w:shd w:val="clear" w:color="auto" w:fill="FFFFFF" w:themeFill="background1"/>
          </w:tcPr>
          <w:p w14:paraId="4F4B42DF" w14:textId="77777777" w:rsidR="00B44D6B" w:rsidRPr="00DA193A" w:rsidRDefault="00FC159E" w:rsidP="00906603">
            <w:pPr>
              <w:spacing w:before="120" w:after="120"/>
              <w:jc w:val="center"/>
            </w:pPr>
            <w:r w:rsidRPr="00DA193A">
              <w:rPr>
                <w:rFonts w:ascii="Arial" w:hAnsi="Arial" w:cs="Arial"/>
              </w:rPr>
              <w:t>9.10</w:t>
            </w:r>
          </w:p>
        </w:tc>
        <w:tc>
          <w:tcPr>
            <w:tcW w:w="776" w:type="pct"/>
            <w:shd w:val="clear" w:color="auto" w:fill="FFFFFF" w:themeFill="background1"/>
          </w:tcPr>
          <w:p w14:paraId="155135DD" w14:textId="77777777" w:rsidR="00B44D6B" w:rsidRPr="00DA193A" w:rsidRDefault="00FC159E" w:rsidP="00906603">
            <w:pPr>
              <w:spacing w:before="120" w:after="120"/>
              <w:jc w:val="center"/>
              <w:rPr>
                <w:rFonts w:ascii="Arial" w:hAnsi="Arial" w:cs="Arial"/>
              </w:rPr>
            </w:pPr>
            <w:r w:rsidRPr="00DA193A">
              <w:rPr>
                <w:rFonts w:ascii="Arial" w:hAnsi="Arial" w:cs="Arial"/>
              </w:rPr>
              <w:t xml:space="preserve">online pornography </w:t>
            </w:r>
          </w:p>
          <w:p w14:paraId="678C1262" w14:textId="77777777" w:rsidR="00B44D6B" w:rsidRPr="00DA193A" w:rsidRDefault="00FC159E" w:rsidP="00906603">
            <w:pPr>
              <w:spacing w:before="120" w:after="120"/>
              <w:jc w:val="center"/>
              <w:rPr>
                <w:rFonts w:ascii="Arial" w:hAnsi="Arial" w:cs="Arial"/>
              </w:rPr>
            </w:pPr>
            <w:r w:rsidRPr="00DA193A">
              <w:rPr>
                <w:rFonts w:ascii="Arial" w:hAnsi="Arial" w:cs="Arial"/>
              </w:rPr>
              <w:t>self-harm material</w:t>
            </w:r>
          </w:p>
          <w:p w14:paraId="03AA352A" w14:textId="77777777" w:rsidR="00B44D6B" w:rsidRPr="00DA193A" w:rsidRDefault="00FC159E" w:rsidP="00906603">
            <w:pPr>
              <w:spacing w:before="120" w:after="120"/>
              <w:jc w:val="center"/>
              <w:rPr>
                <w:rFonts w:ascii="Arial" w:hAnsi="Arial" w:cs="Arial"/>
              </w:rPr>
            </w:pPr>
            <w:r w:rsidRPr="00DA193A">
              <w:rPr>
                <w:rFonts w:ascii="Arial" w:hAnsi="Arial" w:cs="Arial"/>
              </w:rPr>
              <w:t>high-impact violence material</w:t>
            </w:r>
          </w:p>
          <w:p w14:paraId="33C62D87" w14:textId="77777777" w:rsidR="00E04920" w:rsidRPr="00DA193A" w:rsidRDefault="00FC159E" w:rsidP="00906603">
            <w:pPr>
              <w:spacing w:before="120" w:after="120"/>
              <w:jc w:val="center"/>
              <w:rPr>
                <w:rFonts w:ascii="Arial" w:hAnsi="Arial" w:cs="Arial"/>
              </w:rPr>
            </w:pPr>
            <w:r w:rsidRPr="00DA193A">
              <w:rPr>
                <w:rFonts w:ascii="Arial" w:hAnsi="Arial" w:cs="Arial"/>
              </w:rPr>
              <w:t>simulated gambling material</w:t>
            </w:r>
          </w:p>
        </w:tc>
        <w:tc>
          <w:tcPr>
            <w:tcW w:w="3528" w:type="pct"/>
            <w:shd w:val="clear" w:color="auto" w:fill="FFFFFF" w:themeFill="background1"/>
          </w:tcPr>
          <w:p w14:paraId="54CD6065" w14:textId="77777777" w:rsidR="00B44D6B" w:rsidRPr="00DA193A" w:rsidRDefault="00FC159E" w:rsidP="00906603">
            <w:pPr>
              <w:spacing w:before="120" w:after="120"/>
              <w:rPr>
                <w:rFonts w:ascii="Arial" w:hAnsi="Arial" w:cs="Arial"/>
                <w:b/>
                <w:bCs/>
              </w:rPr>
            </w:pPr>
            <w:r w:rsidRPr="00DA193A">
              <w:rPr>
                <w:rFonts w:ascii="Arial" w:hAnsi="Arial" w:cs="Arial"/>
                <w:b/>
                <w:bCs/>
              </w:rPr>
              <w:t>Updates to eSafety about relevant changes to technology</w:t>
            </w:r>
          </w:p>
          <w:p w14:paraId="65F7E00D" w14:textId="77777777" w:rsidR="00B44D6B" w:rsidRPr="00DA193A" w:rsidRDefault="00FC159E" w:rsidP="00906603">
            <w:pPr>
              <w:spacing w:before="120" w:after="120"/>
              <w:rPr>
                <w:rFonts w:ascii="Arial" w:hAnsi="Arial" w:cs="Arial"/>
                <w:color w:val="000000"/>
              </w:rPr>
            </w:pPr>
            <w:r w:rsidRPr="00DA193A">
              <w:rPr>
                <w:rFonts w:ascii="Arial" w:hAnsi="Arial" w:cs="Arial"/>
              </w:rPr>
              <w:t>A service provider</w:t>
            </w:r>
            <w:r w:rsidRPr="00DA193A">
              <w:rPr>
                <w:rFonts w:ascii="Arial" w:hAnsi="Arial" w:cs="Arial"/>
                <w:color w:val="000000"/>
              </w:rPr>
              <w:t xml:space="preserve"> must take reasonable steps to ensure eSafety receives updates regarding significant changes to the functionality of their services that are likely to have a material positive or negative effect on the access or exposure to, distribution of, or online storage of online pornography, self-harm material</w:t>
            </w:r>
            <w:r w:rsidR="00E04920" w:rsidRPr="00DA193A">
              <w:rPr>
                <w:rFonts w:ascii="Arial" w:hAnsi="Arial" w:cs="Arial"/>
                <w:color w:val="000000"/>
              </w:rPr>
              <w:t>,</w:t>
            </w:r>
            <w:r w:rsidRPr="00DA193A">
              <w:rPr>
                <w:rFonts w:ascii="Arial" w:hAnsi="Arial" w:cs="Arial"/>
                <w:color w:val="000000"/>
              </w:rPr>
              <w:t xml:space="preserve"> high-impact violence material </w:t>
            </w:r>
            <w:r w:rsidR="00E04920" w:rsidRPr="00DA193A">
              <w:rPr>
                <w:rFonts w:ascii="Arial" w:hAnsi="Arial" w:cs="Arial"/>
                <w:color w:val="000000"/>
              </w:rPr>
              <w:t xml:space="preserve">or </w:t>
            </w:r>
            <w:r w:rsidR="00E04920" w:rsidRPr="00DA193A">
              <w:rPr>
                <w:rFonts w:ascii="Arial" w:hAnsi="Arial" w:cs="Arial"/>
              </w:rPr>
              <w:t>simulated gambling material</w:t>
            </w:r>
            <w:r w:rsidR="00E04920" w:rsidRPr="00DA193A">
              <w:rPr>
                <w:rFonts w:ascii="Arial" w:hAnsi="Arial" w:cs="Arial"/>
                <w:color w:val="000000"/>
              </w:rPr>
              <w:t xml:space="preserve"> </w:t>
            </w:r>
            <w:r w:rsidRPr="00DA193A">
              <w:rPr>
                <w:rFonts w:ascii="Arial" w:hAnsi="Arial" w:cs="Arial"/>
                <w:color w:val="000000"/>
              </w:rPr>
              <w:t>by an Australian child. A service provider may choose to provide this information in an annual report to eSafety under this Code.</w:t>
            </w:r>
          </w:p>
          <w:p w14:paraId="715B38FF" w14:textId="77777777" w:rsidR="00B44D6B" w:rsidRPr="00DA193A" w:rsidRDefault="00FC159E" w:rsidP="00906603">
            <w:pPr>
              <w:spacing w:before="120" w:after="120"/>
              <w:rPr>
                <w:rFonts w:ascii="Arial" w:hAnsi="Arial" w:cs="Arial"/>
                <w:color w:val="000000"/>
              </w:rPr>
            </w:pPr>
            <w:r w:rsidRPr="00DA193A">
              <w:rPr>
                <w:rFonts w:ascii="Arial" w:hAnsi="Arial" w:cs="Arial"/>
                <w:color w:val="000000"/>
              </w:rPr>
              <w:t>In implementing this measure, a service provider is not required to disclose information to eSafety that is confidential.</w:t>
            </w:r>
          </w:p>
          <w:p w14:paraId="53A68C84" w14:textId="77777777" w:rsidR="00B44D6B" w:rsidRPr="00DA193A" w:rsidRDefault="00FC159E" w:rsidP="00906603">
            <w:pPr>
              <w:pBdr>
                <w:top w:val="nil"/>
                <w:left w:val="nil"/>
                <w:bottom w:val="nil"/>
                <w:right w:val="nil"/>
                <w:between w:val="nil"/>
              </w:pBdr>
              <w:spacing w:before="120" w:after="120"/>
              <w:rPr>
                <w:rFonts w:ascii="Arial" w:hAnsi="Arial" w:cs="Arial"/>
                <w:b/>
                <w:bCs/>
                <w:i/>
                <w:iCs/>
              </w:rPr>
            </w:pPr>
            <w:r w:rsidRPr="00DA193A">
              <w:rPr>
                <w:rFonts w:ascii="Arial" w:hAnsi="Arial" w:cs="Arial"/>
                <w:b/>
                <w:bCs/>
                <w:i/>
                <w:iCs/>
              </w:rPr>
              <w:t>Guidance</w:t>
            </w:r>
            <w:r w:rsidRPr="00DA193A">
              <w:rPr>
                <w:rFonts w:ascii="Arial" w:hAnsi="Arial" w:cs="Arial"/>
                <w:i/>
                <w:iCs/>
              </w:rPr>
              <w:t>:</w:t>
            </w:r>
            <w:r w:rsidRPr="00DA193A">
              <w:rPr>
                <w:rFonts w:ascii="Arial" w:hAnsi="Arial" w:cs="Arial"/>
                <w:b/>
                <w:bCs/>
                <w:i/>
                <w:iCs/>
              </w:rPr>
              <w:t xml:space="preserve"> </w:t>
            </w:r>
          </w:p>
          <w:p w14:paraId="376983CA" w14:textId="77777777" w:rsidR="00B44D6B" w:rsidRPr="00DA193A" w:rsidRDefault="00FC159E" w:rsidP="00906603">
            <w:pPr>
              <w:spacing w:before="120" w:after="120"/>
              <w:rPr>
                <w:rFonts w:ascii="Arial" w:hAnsi="Arial" w:cs="Arial"/>
                <w:color w:val="000000"/>
              </w:rPr>
            </w:pPr>
            <w:r w:rsidRPr="00DA193A">
              <w:rPr>
                <w:rFonts w:ascii="Arial" w:hAnsi="Arial" w:cs="Arial"/>
                <w:i/>
                <w:iCs/>
                <w:color w:val="000000"/>
              </w:rPr>
              <w:t>Changes that have a material negative effect should, ideally be communicated before a public announcement of the relevant changes.</w:t>
            </w:r>
          </w:p>
        </w:tc>
      </w:tr>
      <w:tr w:rsidR="00367724" w14:paraId="71DD8AC6" w14:textId="77777777" w:rsidTr="00906603">
        <w:tc>
          <w:tcPr>
            <w:tcW w:w="696" w:type="pct"/>
            <w:shd w:val="clear" w:color="auto" w:fill="FFFFFF" w:themeFill="background1"/>
          </w:tcPr>
          <w:p w14:paraId="00FD4785" w14:textId="77777777" w:rsidR="00F62F41" w:rsidRPr="00DA193A" w:rsidRDefault="00FC159E" w:rsidP="00906603">
            <w:pPr>
              <w:spacing w:before="120" w:after="120"/>
              <w:jc w:val="center"/>
            </w:pPr>
            <w:r w:rsidRPr="00DA193A">
              <w:rPr>
                <w:rFonts w:ascii="Arial" w:hAnsi="Arial" w:cs="Arial"/>
              </w:rPr>
              <w:t>9.11</w:t>
            </w:r>
          </w:p>
        </w:tc>
        <w:tc>
          <w:tcPr>
            <w:tcW w:w="776" w:type="pct"/>
            <w:shd w:val="clear" w:color="auto" w:fill="FFFFFF" w:themeFill="background1"/>
          </w:tcPr>
          <w:p w14:paraId="0FAD58CA" w14:textId="77777777" w:rsidR="00F62F41" w:rsidRPr="00DA193A" w:rsidRDefault="00FC159E" w:rsidP="00906603">
            <w:pPr>
              <w:spacing w:before="120" w:after="120"/>
              <w:jc w:val="center"/>
              <w:rPr>
                <w:rFonts w:ascii="Arial" w:hAnsi="Arial" w:cs="Arial"/>
              </w:rPr>
            </w:pPr>
            <w:r w:rsidRPr="00DA193A">
              <w:rPr>
                <w:rFonts w:ascii="Arial" w:hAnsi="Arial" w:cs="Arial"/>
              </w:rPr>
              <w:t>All</w:t>
            </w:r>
          </w:p>
        </w:tc>
        <w:tc>
          <w:tcPr>
            <w:tcW w:w="3528" w:type="pct"/>
            <w:shd w:val="clear" w:color="auto" w:fill="FFFFFF" w:themeFill="background1"/>
          </w:tcPr>
          <w:p w14:paraId="0833FBF4" w14:textId="77777777" w:rsidR="00F62F41" w:rsidRPr="00DA193A" w:rsidRDefault="00FC159E" w:rsidP="00906603">
            <w:pPr>
              <w:pBdr>
                <w:top w:val="nil"/>
                <w:left w:val="nil"/>
                <w:bottom w:val="nil"/>
                <w:right w:val="nil"/>
                <w:between w:val="nil"/>
              </w:pBdr>
              <w:spacing w:before="120" w:after="120"/>
              <w:rPr>
                <w:rFonts w:ascii="Arial" w:hAnsi="Arial" w:cs="Arial"/>
                <w:b/>
                <w:bCs/>
              </w:rPr>
            </w:pPr>
            <w:r w:rsidRPr="00DA193A">
              <w:rPr>
                <w:rFonts w:ascii="Arial" w:hAnsi="Arial" w:cs="Arial"/>
                <w:b/>
                <w:bCs/>
              </w:rPr>
              <w:t>Engagement</w:t>
            </w:r>
          </w:p>
          <w:p w14:paraId="4D5571F4" w14:textId="77777777" w:rsidR="00F62F41" w:rsidRPr="00DA193A" w:rsidRDefault="00FC159E" w:rsidP="00906603">
            <w:pPr>
              <w:spacing w:before="120" w:after="120"/>
              <w:rPr>
                <w:rFonts w:ascii="Arial" w:hAnsi="Arial" w:cs="Arial"/>
              </w:rPr>
            </w:pPr>
            <w:r w:rsidRPr="00DA193A">
              <w:rPr>
                <w:rFonts w:ascii="Arial" w:hAnsi="Arial" w:cs="Arial"/>
              </w:rPr>
              <w:t>A service provider must appropriately engage with safety and community organisations (such as civil society groups, public interest groups and representatives of marginalised communities), academics and government to gather information to help inform measures taken for the purposes of protecting or preventing children from accessing or being exposed to class 1C and class 2 material.</w:t>
            </w:r>
          </w:p>
          <w:p w14:paraId="62018993" w14:textId="77777777" w:rsidR="00F62F41" w:rsidRPr="00DA193A" w:rsidRDefault="00FC159E" w:rsidP="00906603">
            <w:pPr>
              <w:spacing w:before="120" w:after="120"/>
              <w:rPr>
                <w:rFonts w:ascii="Arial" w:hAnsi="Arial" w:cs="Arial"/>
              </w:rPr>
            </w:pPr>
            <w:r w:rsidRPr="00DA193A">
              <w:rPr>
                <w:rFonts w:ascii="Arial" w:hAnsi="Arial" w:cs="Arial"/>
              </w:rPr>
              <w:t>A service provider must consider information obtained through such engagement.</w:t>
            </w:r>
            <w:r w:rsidR="00055EE3" w:rsidRPr="00DA193A">
              <w:rPr>
                <w:rFonts w:ascii="Arial" w:hAnsi="Arial" w:cs="Arial"/>
              </w:rPr>
              <w:t xml:space="preserve"> </w:t>
            </w:r>
          </w:p>
          <w:p w14:paraId="7007AC28" w14:textId="77777777" w:rsidR="00F62F41" w:rsidRPr="00DA193A" w:rsidRDefault="00FC159E" w:rsidP="00906603">
            <w:pPr>
              <w:spacing w:before="120" w:after="120"/>
              <w:rPr>
                <w:rFonts w:ascii="Arial" w:hAnsi="Arial" w:cs="Arial"/>
                <w:i/>
                <w:iCs/>
              </w:rPr>
            </w:pPr>
            <w:r w:rsidRPr="00DA193A">
              <w:rPr>
                <w:rFonts w:ascii="Arial" w:hAnsi="Arial" w:cs="Arial"/>
                <w:b/>
                <w:bCs/>
                <w:i/>
                <w:iCs/>
              </w:rPr>
              <w:t>Guidance</w:t>
            </w:r>
            <w:r w:rsidRPr="00DA193A">
              <w:rPr>
                <w:rFonts w:ascii="Arial" w:hAnsi="Arial" w:cs="Arial"/>
                <w:i/>
                <w:iCs/>
              </w:rPr>
              <w:t>:</w:t>
            </w:r>
          </w:p>
          <w:p w14:paraId="71647FFA" w14:textId="77777777" w:rsidR="00390765" w:rsidRPr="00DA193A" w:rsidRDefault="00FC159E" w:rsidP="00906603">
            <w:pPr>
              <w:spacing w:before="120" w:after="120"/>
              <w:rPr>
                <w:rFonts w:ascii="Arial" w:hAnsi="Arial" w:cs="Arial"/>
                <w:i/>
                <w:iCs/>
              </w:rPr>
            </w:pPr>
            <w:r w:rsidRPr="00DA193A">
              <w:rPr>
                <w:rFonts w:ascii="Arial" w:hAnsi="Arial" w:cs="Arial"/>
                <w:i/>
                <w:iCs/>
              </w:rPr>
              <w:t>Engagement may occur within and/or outside Australia as relevant to the issue under consideration.</w:t>
            </w:r>
          </w:p>
          <w:p w14:paraId="378E86FE" w14:textId="77777777" w:rsidR="00F62F41" w:rsidRPr="00DA193A" w:rsidRDefault="00FC159E" w:rsidP="00390765">
            <w:pPr>
              <w:spacing w:before="120" w:after="120"/>
              <w:rPr>
                <w:rFonts w:ascii="Arial" w:hAnsi="Arial" w:cs="Arial"/>
                <w:i/>
                <w:iCs/>
              </w:rPr>
            </w:pPr>
            <w:r w:rsidRPr="00DA193A">
              <w:rPr>
                <w:rFonts w:ascii="Arial" w:hAnsi="Arial" w:cs="Arial"/>
                <w:i/>
                <w:iCs/>
              </w:rPr>
              <w:t>Engagement may occur regularly in the course of ongoing relationships with organisations, academics or government, during development of new service features or in other appropriate circumstances.</w:t>
            </w:r>
          </w:p>
        </w:tc>
      </w:tr>
      <w:tr w:rsidR="00367724" w14:paraId="6CD28E81" w14:textId="77777777" w:rsidTr="00906603">
        <w:tc>
          <w:tcPr>
            <w:tcW w:w="696" w:type="pct"/>
            <w:shd w:val="clear" w:color="auto" w:fill="FFFFFF" w:themeFill="background1"/>
          </w:tcPr>
          <w:p w14:paraId="5B21B93A" w14:textId="77777777" w:rsidR="00F62F41" w:rsidRPr="00DA193A" w:rsidRDefault="00FC159E" w:rsidP="00906603">
            <w:pPr>
              <w:spacing w:before="120" w:after="120"/>
              <w:jc w:val="center"/>
            </w:pPr>
            <w:r w:rsidRPr="00DA193A">
              <w:rPr>
                <w:rFonts w:ascii="Arial" w:hAnsi="Arial" w:cs="Arial"/>
              </w:rPr>
              <w:t>9.1</w:t>
            </w:r>
            <w:r w:rsidR="005A17C0" w:rsidRPr="00DA193A">
              <w:rPr>
                <w:rFonts w:ascii="Arial" w:hAnsi="Arial" w:cs="Arial"/>
              </w:rPr>
              <w:t>2</w:t>
            </w:r>
          </w:p>
        </w:tc>
        <w:tc>
          <w:tcPr>
            <w:tcW w:w="776" w:type="pct"/>
            <w:shd w:val="clear" w:color="auto" w:fill="FFFFFF" w:themeFill="background1"/>
          </w:tcPr>
          <w:p w14:paraId="37CBC41B" w14:textId="77777777" w:rsidR="00F62F41" w:rsidRPr="00DA193A" w:rsidRDefault="00FC159E" w:rsidP="00906603">
            <w:pPr>
              <w:spacing w:before="120" w:after="120"/>
              <w:jc w:val="center"/>
              <w:rPr>
                <w:rFonts w:ascii="Arial" w:hAnsi="Arial" w:cs="Arial"/>
              </w:rPr>
            </w:pPr>
            <w:r w:rsidRPr="00DA193A">
              <w:rPr>
                <w:rFonts w:ascii="Arial" w:hAnsi="Arial" w:cs="Arial"/>
              </w:rPr>
              <w:t>All</w:t>
            </w:r>
          </w:p>
        </w:tc>
        <w:tc>
          <w:tcPr>
            <w:tcW w:w="3528" w:type="pct"/>
            <w:shd w:val="clear" w:color="auto" w:fill="FFFFFF" w:themeFill="background1"/>
          </w:tcPr>
          <w:p w14:paraId="1F2F1814" w14:textId="77777777" w:rsidR="00F62F41" w:rsidRPr="00DA193A" w:rsidRDefault="00FC159E" w:rsidP="00906603">
            <w:pPr>
              <w:spacing w:before="120" w:after="120"/>
              <w:rPr>
                <w:rFonts w:ascii="Arial" w:hAnsi="Arial" w:cs="Arial"/>
                <w:b/>
                <w:bCs/>
              </w:rPr>
            </w:pPr>
            <w:r w:rsidRPr="00DA193A">
              <w:rPr>
                <w:rFonts w:ascii="Arial" w:hAnsi="Arial" w:cs="Arial"/>
                <w:b/>
                <w:bCs/>
              </w:rPr>
              <w:t>Information for Australian end-users about the role and functions of eSafety, including how to make a complaint to eSafety</w:t>
            </w:r>
          </w:p>
          <w:p w14:paraId="6CBB69B1" w14:textId="77777777" w:rsidR="00F62F41" w:rsidRPr="00DA193A" w:rsidRDefault="00FC159E" w:rsidP="00906603">
            <w:pPr>
              <w:pBdr>
                <w:top w:val="nil"/>
                <w:left w:val="nil"/>
                <w:bottom w:val="nil"/>
                <w:right w:val="nil"/>
                <w:between w:val="nil"/>
              </w:pBdr>
              <w:spacing w:before="120" w:after="120"/>
              <w:rPr>
                <w:b/>
                <w:bCs/>
              </w:rPr>
            </w:pPr>
            <w:r w:rsidRPr="00DA193A">
              <w:rPr>
                <w:rFonts w:ascii="Arial" w:hAnsi="Arial" w:cs="Arial"/>
              </w:rPr>
              <w:t>A service provider must publish clear information that is accessible to Australian end-users which explains the role and functions of eSafety, including how to make a complaint to eSafety.</w:t>
            </w:r>
          </w:p>
        </w:tc>
      </w:tr>
      <w:tr w:rsidR="00367724" w14:paraId="28366864" w14:textId="77777777" w:rsidTr="00906603">
        <w:tc>
          <w:tcPr>
            <w:tcW w:w="696" w:type="pct"/>
            <w:shd w:val="clear" w:color="auto" w:fill="FFFFFF" w:themeFill="background1"/>
          </w:tcPr>
          <w:p w14:paraId="64B1D795" w14:textId="77777777" w:rsidR="00F62F41" w:rsidRPr="00DA193A" w:rsidRDefault="00FC159E" w:rsidP="00906603">
            <w:pPr>
              <w:spacing w:before="120" w:after="120"/>
              <w:jc w:val="center"/>
            </w:pPr>
            <w:r w:rsidRPr="00DA193A">
              <w:rPr>
                <w:rFonts w:ascii="Arial" w:hAnsi="Arial" w:cs="Arial"/>
              </w:rPr>
              <w:t>9.1</w:t>
            </w:r>
            <w:r w:rsidR="005A17C0" w:rsidRPr="00DA193A">
              <w:rPr>
                <w:rFonts w:ascii="Arial" w:hAnsi="Arial" w:cs="Arial"/>
              </w:rPr>
              <w:t>3</w:t>
            </w:r>
          </w:p>
        </w:tc>
        <w:tc>
          <w:tcPr>
            <w:tcW w:w="776" w:type="pct"/>
            <w:shd w:val="clear" w:color="auto" w:fill="FFFFFF" w:themeFill="background1"/>
          </w:tcPr>
          <w:p w14:paraId="15A85E8D" w14:textId="77777777" w:rsidR="00F62F41" w:rsidRPr="00DA193A" w:rsidRDefault="00FC159E" w:rsidP="00906603">
            <w:pPr>
              <w:spacing w:before="120" w:after="120"/>
              <w:jc w:val="center"/>
              <w:rPr>
                <w:rFonts w:ascii="Arial" w:hAnsi="Arial" w:cs="Arial"/>
              </w:rPr>
            </w:pPr>
            <w:r w:rsidRPr="00DA193A">
              <w:rPr>
                <w:rFonts w:ascii="Arial" w:hAnsi="Arial" w:cs="Arial"/>
              </w:rPr>
              <w:t>All</w:t>
            </w:r>
          </w:p>
        </w:tc>
        <w:tc>
          <w:tcPr>
            <w:tcW w:w="3528" w:type="pct"/>
            <w:shd w:val="clear" w:color="auto" w:fill="FFFFFF" w:themeFill="background1"/>
          </w:tcPr>
          <w:p w14:paraId="773FFE84" w14:textId="77777777" w:rsidR="00F62F41" w:rsidRPr="00DA193A" w:rsidRDefault="00FC159E" w:rsidP="00906603">
            <w:pPr>
              <w:spacing w:before="120" w:after="120"/>
              <w:rPr>
                <w:rFonts w:ascii="Arial" w:hAnsi="Arial" w:cs="Arial"/>
                <w:b/>
                <w:bCs/>
              </w:rPr>
            </w:pPr>
            <w:r w:rsidRPr="00DA193A">
              <w:rPr>
                <w:rFonts w:ascii="Arial" w:hAnsi="Arial" w:cs="Arial"/>
                <w:b/>
                <w:bCs/>
              </w:rPr>
              <w:t>Location on service that is dedicated to providing online safety information</w:t>
            </w:r>
          </w:p>
          <w:p w14:paraId="6D14101A" w14:textId="77777777" w:rsidR="00F62F41" w:rsidRPr="00DA193A" w:rsidRDefault="00FC159E" w:rsidP="00906603">
            <w:pPr>
              <w:spacing w:before="120" w:after="120"/>
              <w:rPr>
                <w:rFonts w:ascii="Arial" w:hAnsi="Arial" w:cs="Arial"/>
                <w:lang w:val="en-GB"/>
              </w:rPr>
            </w:pPr>
            <w:r w:rsidRPr="00DA193A">
              <w:rPr>
                <w:rFonts w:ascii="Arial" w:hAnsi="Arial" w:cs="Arial"/>
                <w:lang w:val="en-GB"/>
              </w:rPr>
              <w:t xml:space="preserve">A service provider must establish a location on or via the service that is dedicated to providing </w:t>
            </w:r>
            <w:r w:rsidRPr="00DA193A">
              <w:rPr>
                <w:rFonts w:ascii="Arial" w:hAnsi="Arial" w:cs="Arial"/>
              </w:rPr>
              <w:t>online</w:t>
            </w:r>
            <w:r w:rsidRPr="00DA193A">
              <w:rPr>
                <w:rFonts w:ascii="Arial" w:hAnsi="Arial" w:cs="Arial"/>
                <w:lang w:val="en-GB"/>
              </w:rPr>
              <w:t xml:space="preserve"> safety information, that:</w:t>
            </w:r>
          </w:p>
          <w:p w14:paraId="35BAA2EB" w14:textId="77777777" w:rsidR="00F62F41" w:rsidRPr="00DA193A" w:rsidRDefault="00FC159E" w:rsidP="00906603">
            <w:pPr>
              <w:tabs>
                <w:tab w:val="left" w:pos="705"/>
              </w:tabs>
              <w:spacing w:before="120" w:after="120"/>
              <w:ind w:left="705" w:hanging="705"/>
              <w:rPr>
                <w:rFonts w:ascii="Arial" w:hAnsi="Arial" w:cs="Arial"/>
              </w:rPr>
            </w:pPr>
            <w:r w:rsidRPr="00DA193A">
              <w:rPr>
                <w:rFonts w:ascii="Arial" w:hAnsi="Arial" w:cs="Arial"/>
              </w:rPr>
              <w:t>(a)</w:t>
            </w:r>
            <w:r w:rsidRPr="00DA193A">
              <w:rPr>
                <w:rFonts w:ascii="Arial" w:hAnsi="Arial" w:cs="Arial"/>
              </w:rPr>
              <w:tab/>
              <w:t xml:space="preserve">contains information required under this Code; </w:t>
            </w:r>
          </w:p>
          <w:p w14:paraId="5408D362" w14:textId="77777777" w:rsidR="00F62F41" w:rsidRPr="00DA193A" w:rsidRDefault="00FC159E" w:rsidP="00906603">
            <w:pPr>
              <w:tabs>
                <w:tab w:val="left" w:pos="705"/>
              </w:tabs>
              <w:spacing w:before="120" w:after="120"/>
              <w:ind w:left="705" w:hanging="705"/>
              <w:rPr>
                <w:rFonts w:ascii="Arial" w:hAnsi="Arial" w:cs="Arial"/>
              </w:rPr>
            </w:pPr>
            <w:r w:rsidRPr="00DA193A">
              <w:rPr>
                <w:rFonts w:ascii="Arial" w:hAnsi="Arial" w:cs="Arial"/>
              </w:rPr>
              <w:t>(b)</w:t>
            </w:r>
            <w:r w:rsidRPr="00DA193A">
              <w:rPr>
                <w:rFonts w:ascii="Arial" w:hAnsi="Arial" w:cs="Arial"/>
              </w:rPr>
              <w:tab/>
            </w:r>
            <w:r w:rsidRPr="00DA193A">
              <w:rPr>
                <w:rFonts w:ascii="Arial" w:hAnsi="Arial" w:cs="Arial"/>
              </w:rPr>
              <w:t>includes information about how Australian end-users can contact third party services that may provide counselling and support; and</w:t>
            </w:r>
          </w:p>
          <w:p w14:paraId="71A23169" w14:textId="77777777" w:rsidR="00F62F41" w:rsidRPr="00DA193A" w:rsidRDefault="00FC159E" w:rsidP="00906603">
            <w:pPr>
              <w:tabs>
                <w:tab w:val="left" w:pos="705"/>
              </w:tabs>
              <w:spacing w:before="120" w:after="120"/>
              <w:ind w:left="705" w:hanging="705"/>
              <w:rPr>
                <w:rFonts w:ascii="Arial" w:hAnsi="Arial" w:cs="Arial"/>
              </w:rPr>
            </w:pPr>
            <w:r w:rsidRPr="00DA193A">
              <w:rPr>
                <w:rFonts w:ascii="Arial" w:hAnsi="Arial" w:cs="Arial"/>
              </w:rPr>
              <w:t>(c)</w:t>
            </w:r>
            <w:r w:rsidRPr="00DA193A">
              <w:rPr>
                <w:rFonts w:ascii="Arial" w:hAnsi="Arial" w:cs="Arial"/>
              </w:rPr>
              <w:tab/>
              <w:t>is accessible to Australian end-users.</w:t>
            </w:r>
          </w:p>
          <w:p w14:paraId="764E8F0A" w14:textId="77777777" w:rsidR="00F62F41" w:rsidRPr="00DA193A" w:rsidRDefault="00FC159E" w:rsidP="00906603">
            <w:pPr>
              <w:spacing w:before="120" w:after="120"/>
              <w:rPr>
                <w:rFonts w:ascii="Arial" w:hAnsi="Arial" w:cs="Arial"/>
                <w:b/>
                <w:i/>
                <w:lang w:val="en-GB"/>
              </w:rPr>
            </w:pPr>
            <w:r w:rsidRPr="00DA193A">
              <w:rPr>
                <w:rFonts w:ascii="Arial" w:hAnsi="Arial" w:cs="Arial"/>
                <w:b/>
                <w:i/>
                <w:lang w:val="en-GB"/>
              </w:rPr>
              <w:t>Guidance</w:t>
            </w:r>
            <w:r w:rsidRPr="00DA193A">
              <w:rPr>
                <w:rFonts w:ascii="Arial" w:hAnsi="Arial" w:cs="Arial"/>
                <w:bCs/>
                <w:i/>
                <w:lang w:val="en-GB"/>
              </w:rPr>
              <w:t>:</w:t>
            </w:r>
            <w:r w:rsidRPr="00DA193A">
              <w:rPr>
                <w:rFonts w:ascii="Arial" w:hAnsi="Arial" w:cs="Arial"/>
                <w:b/>
                <w:i/>
                <w:lang w:val="en-GB"/>
              </w:rPr>
              <w:t xml:space="preserve"> </w:t>
            </w:r>
          </w:p>
          <w:p w14:paraId="3ED26340" w14:textId="77777777" w:rsidR="00F62F41" w:rsidRPr="00DA193A" w:rsidRDefault="00FC159E" w:rsidP="00906603">
            <w:pPr>
              <w:pBdr>
                <w:top w:val="nil"/>
                <w:left w:val="nil"/>
                <w:bottom w:val="nil"/>
                <w:right w:val="nil"/>
                <w:between w:val="nil"/>
              </w:pBdr>
              <w:spacing w:before="120" w:after="120"/>
              <w:rPr>
                <w:b/>
                <w:bCs/>
              </w:rPr>
            </w:pPr>
            <w:r w:rsidRPr="00DA193A">
              <w:rPr>
                <w:rFonts w:ascii="Arial" w:hAnsi="Arial" w:cs="Arial"/>
                <w:i/>
                <w:lang w:val="en-GB"/>
              </w:rPr>
              <w:t xml:space="preserve">A provider could raise Australian end-users’ awareness about the availability of safety information on its platform in relation to its services, through interstitial mechanisms such as account notifications, on-platform advertising campaigns or pop-up notices when material is being posted or viewed by Australian end-users. Providers </w:t>
            </w:r>
            <w:r w:rsidR="008A08E6" w:rsidRPr="00DA193A">
              <w:rPr>
                <w:rFonts w:ascii="Arial" w:hAnsi="Arial" w:cs="Arial"/>
                <w:i/>
                <w:lang w:val="en-GB"/>
              </w:rPr>
              <w:t>c</w:t>
            </w:r>
            <w:r w:rsidRPr="00DA193A">
              <w:rPr>
                <w:rFonts w:ascii="Arial" w:hAnsi="Arial" w:cs="Arial"/>
                <w:i/>
                <w:lang w:val="en-GB"/>
              </w:rPr>
              <w:t>ould also contribut</w:t>
            </w:r>
            <w:r w:rsidR="008A08E6" w:rsidRPr="00DA193A">
              <w:rPr>
                <w:rFonts w:ascii="Arial" w:hAnsi="Arial" w:cs="Arial"/>
                <w:i/>
                <w:lang w:val="en-GB"/>
              </w:rPr>
              <w:t>e</w:t>
            </w:r>
            <w:r w:rsidRPr="00DA193A">
              <w:rPr>
                <w:rFonts w:ascii="Arial" w:hAnsi="Arial" w:cs="Arial"/>
                <w:i/>
                <w:lang w:val="en-GB"/>
              </w:rPr>
              <w:t xml:space="preserve"> to off-platform campaigns targeted at the general public, </w:t>
            </w:r>
            <w:r w:rsidRPr="00DA193A">
              <w:rPr>
                <w:rFonts w:ascii="Arial" w:hAnsi="Arial" w:cs="Arial"/>
                <w:i/>
                <w:iCs/>
                <w:color w:val="000000"/>
              </w:rPr>
              <w:t>Australian</w:t>
            </w:r>
            <w:r w:rsidRPr="00DA193A">
              <w:rPr>
                <w:rFonts w:ascii="Arial" w:hAnsi="Arial" w:cs="Arial"/>
                <w:i/>
                <w:lang w:val="en-GB"/>
              </w:rPr>
              <w:t xml:space="preserve"> end-users or specific sections of the community such as teachers, parents and carers, older users or vulnerable groups. A provider </w:t>
            </w:r>
            <w:r w:rsidR="008A08E6" w:rsidRPr="00DA193A">
              <w:rPr>
                <w:rFonts w:ascii="Arial" w:hAnsi="Arial" w:cs="Arial"/>
                <w:i/>
                <w:lang w:val="en-GB"/>
              </w:rPr>
              <w:t xml:space="preserve">could </w:t>
            </w:r>
            <w:r w:rsidRPr="00DA193A">
              <w:rPr>
                <w:rFonts w:ascii="Arial" w:hAnsi="Arial" w:cs="Arial"/>
                <w:i/>
                <w:lang w:val="en-GB"/>
              </w:rPr>
              <w:t xml:space="preserve">also </w:t>
            </w:r>
            <w:r w:rsidR="008A08E6" w:rsidRPr="00DA193A">
              <w:rPr>
                <w:rFonts w:ascii="Arial" w:hAnsi="Arial" w:cs="Arial"/>
                <w:i/>
                <w:lang w:val="en-GB"/>
              </w:rPr>
              <w:t xml:space="preserve">contribute </w:t>
            </w:r>
            <w:r w:rsidRPr="00DA193A">
              <w:rPr>
                <w:rFonts w:ascii="Arial" w:hAnsi="Arial" w:cs="Arial"/>
                <w:i/>
                <w:lang w:val="en-GB"/>
              </w:rPr>
              <w:t>to an off-platform campaign by providing financial assistance, advertising collateral, expert advisers, or other support services.</w:t>
            </w:r>
          </w:p>
        </w:tc>
      </w:tr>
      <w:tr w:rsidR="00367724" w14:paraId="7A883A14" w14:textId="77777777" w:rsidTr="00CC2B42">
        <w:tc>
          <w:tcPr>
            <w:tcW w:w="696" w:type="pct"/>
            <w:shd w:val="clear" w:color="auto" w:fill="FFFFFF" w:themeFill="background1"/>
          </w:tcPr>
          <w:p w14:paraId="4A4F8B82" w14:textId="77777777" w:rsidR="00CC2B42" w:rsidRPr="00DA193A" w:rsidRDefault="00FC159E" w:rsidP="006F0B23">
            <w:pPr>
              <w:spacing w:before="120" w:after="120"/>
              <w:jc w:val="center"/>
            </w:pPr>
            <w:r w:rsidRPr="00DA193A">
              <w:rPr>
                <w:rFonts w:ascii="Arial" w:hAnsi="Arial" w:cs="Arial"/>
              </w:rPr>
              <w:t>9.</w:t>
            </w:r>
            <w:r w:rsidR="0008280D" w:rsidRPr="00DA193A">
              <w:rPr>
                <w:rFonts w:ascii="Arial" w:hAnsi="Arial" w:cs="Arial"/>
              </w:rPr>
              <w:t>14</w:t>
            </w:r>
          </w:p>
        </w:tc>
        <w:tc>
          <w:tcPr>
            <w:tcW w:w="776" w:type="pct"/>
            <w:shd w:val="clear" w:color="auto" w:fill="FFFFFF" w:themeFill="background1"/>
          </w:tcPr>
          <w:p w14:paraId="68A7E97E" w14:textId="77777777" w:rsidR="004E044D" w:rsidRPr="00DA193A" w:rsidRDefault="00FC159E" w:rsidP="004E044D">
            <w:pPr>
              <w:spacing w:before="120" w:after="120"/>
              <w:jc w:val="center"/>
              <w:rPr>
                <w:rFonts w:ascii="Arial" w:hAnsi="Arial" w:cs="Arial"/>
              </w:rPr>
            </w:pPr>
            <w:r w:rsidRPr="00DA193A">
              <w:rPr>
                <w:rFonts w:ascii="Arial" w:hAnsi="Arial" w:cs="Arial"/>
              </w:rPr>
              <w:t>online pornography</w:t>
            </w:r>
          </w:p>
          <w:p w14:paraId="0CB57CDD" w14:textId="77777777" w:rsidR="004E044D" w:rsidRPr="00DA193A" w:rsidRDefault="00FC159E" w:rsidP="004E044D">
            <w:pPr>
              <w:spacing w:before="120" w:after="120"/>
              <w:jc w:val="center"/>
              <w:rPr>
                <w:rFonts w:ascii="Arial" w:hAnsi="Arial" w:cs="Arial"/>
              </w:rPr>
            </w:pPr>
            <w:r w:rsidRPr="00DA193A">
              <w:rPr>
                <w:rFonts w:ascii="Arial" w:hAnsi="Arial" w:cs="Arial"/>
              </w:rPr>
              <w:t>self-harm material</w:t>
            </w:r>
          </w:p>
          <w:p w14:paraId="2983E7F4" w14:textId="77777777" w:rsidR="004E044D" w:rsidRPr="00DA193A" w:rsidRDefault="00FC159E" w:rsidP="004E044D">
            <w:pPr>
              <w:spacing w:before="120" w:after="120"/>
              <w:jc w:val="center"/>
              <w:rPr>
                <w:rFonts w:ascii="Arial" w:hAnsi="Arial" w:cs="Arial"/>
              </w:rPr>
            </w:pPr>
            <w:r w:rsidRPr="00DA193A">
              <w:rPr>
                <w:rFonts w:ascii="Arial" w:hAnsi="Arial" w:cs="Arial"/>
              </w:rPr>
              <w:t>high-impact violence material</w:t>
            </w:r>
          </w:p>
          <w:p w14:paraId="446641EC" w14:textId="77777777" w:rsidR="00CC2B42" w:rsidRPr="00DA193A" w:rsidRDefault="00FC159E" w:rsidP="004E044D">
            <w:pPr>
              <w:spacing w:before="120" w:after="120"/>
              <w:jc w:val="center"/>
              <w:rPr>
                <w:rFonts w:ascii="Arial" w:hAnsi="Arial" w:cs="Arial"/>
              </w:rPr>
            </w:pPr>
            <w:r w:rsidRPr="00DA193A">
              <w:rPr>
                <w:rFonts w:ascii="Arial" w:hAnsi="Arial" w:cs="Arial"/>
              </w:rPr>
              <w:t>simulated</w:t>
            </w:r>
            <w:r w:rsidR="00C26D55" w:rsidRPr="00DA193A">
              <w:rPr>
                <w:rFonts w:ascii="Arial" w:hAnsi="Arial" w:cs="Arial"/>
              </w:rPr>
              <w:t xml:space="preserve"> </w:t>
            </w:r>
            <w:r w:rsidRPr="00DA193A">
              <w:rPr>
                <w:rFonts w:ascii="Arial" w:hAnsi="Arial" w:cs="Arial"/>
              </w:rPr>
              <w:t>gambling material</w:t>
            </w:r>
          </w:p>
        </w:tc>
        <w:tc>
          <w:tcPr>
            <w:tcW w:w="3528" w:type="pct"/>
            <w:shd w:val="clear" w:color="auto" w:fill="FFFFFF" w:themeFill="background1"/>
          </w:tcPr>
          <w:p w14:paraId="21FBE31D" w14:textId="77777777" w:rsidR="00CC2B42" w:rsidRPr="00DA193A" w:rsidRDefault="00FC159E" w:rsidP="004C2E95">
            <w:pPr>
              <w:spacing w:before="120" w:after="120"/>
              <w:rPr>
                <w:rFonts w:ascii="Arial" w:hAnsi="Arial" w:cs="Arial"/>
                <w:b/>
                <w:bCs/>
              </w:rPr>
            </w:pPr>
            <w:r w:rsidRPr="00DA193A">
              <w:rPr>
                <w:rFonts w:ascii="Arial" w:hAnsi="Arial" w:cs="Arial"/>
                <w:b/>
                <w:bCs/>
              </w:rPr>
              <w:t>Information about how services deal with risk of harm</w:t>
            </w:r>
          </w:p>
          <w:p w14:paraId="574483FC" w14:textId="77777777" w:rsidR="00CC2B42" w:rsidRPr="00DA193A" w:rsidRDefault="00FC159E" w:rsidP="004C2E95">
            <w:pPr>
              <w:pBdr>
                <w:top w:val="nil"/>
                <w:left w:val="nil"/>
                <w:bottom w:val="nil"/>
                <w:right w:val="nil"/>
                <w:between w:val="nil"/>
              </w:pBdr>
              <w:spacing w:before="120" w:after="120"/>
              <w:rPr>
                <w:b/>
                <w:bCs/>
              </w:rPr>
            </w:pPr>
            <w:r w:rsidRPr="00DA193A">
              <w:rPr>
                <w:rFonts w:ascii="Arial" w:hAnsi="Arial" w:cs="Arial"/>
              </w:rPr>
              <w:t xml:space="preserve">A service provider must publish clear and accessible information that explains the actions they take to reduce the risk of harm to Australian child end-users from </w:t>
            </w:r>
            <w:r w:rsidR="004E044D" w:rsidRPr="00DA193A">
              <w:rPr>
                <w:rFonts w:ascii="Arial" w:hAnsi="Arial" w:cs="Arial"/>
                <w:color w:val="000000"/>
              </w:rPr>
              <w:t>online pornography, self-harm material, high-impact violence material and simulated</w:t>
            </w:r>
            <w:r w:rsidR="00C26D55" w:rsidRPr="00DA193A">
              <w:rPr>
                <w:rFonts w:ascii="Arial" w:hAnsi="Arial" w:cs="Arial"/>
                <w:color w:val="000000"/>
              </w:rPr>
              <w:t xml:space="preserve"> </w:t>
            </w:r>
            <w:r w:rsidR="004E044D" w:rsidRPr="00DA193A">
              <w:rPr>
                <w:rFonts w:ascii="Arial" w:hAnsi="Arial" w:cs="Arial"/>
                <w:color w:val="000000"/>
              </w:rPr>
              <w:t>gambling material</w:t>
            </w:r>
            <w:r w:rsidR="004E044D" w:rsidRPr="00DA193A">
              <w:rPr>
                <w:rFonts w:ascii="Arial" w:hAnsi="Arial" w:cs="Arial"/>
              </w:rPr>
              <w:t xml:space="preserve"> </w:t>
            </w:r>
            <w:r w:rsidRPr="00DA193A">
              <w:rPr>
                <w:rFonts w:ascii="Arial" w:hAnsi="Arial" w:cs="Arial"/>
              </w:rPr>
              <w:t>on its service.</w:t>
            </w:r>
          </w:p>
        </w:tc>
      </w:tr>
    </w:tbl>
    <w:p w14:paraId="572901CF" w14:textId="77777777" w:rsidR="009603D1" w:rsidRDefault="00FC159E">
      <w:r>
        <w:br w:type="page"/>
      </w:r>
    </w:p>
    <w:p w14:paraId="5B373571" w14:textId="77777777" w:rsidR="009603D1" w:rsidRDefault="00FC159E" w:rsidP="009603D1">
      <w:pPr>
        <w:pStyle w:val="Heading1"/>
        <w:tabs>
          <w:tab w:val="clear" w:pos="737"/>
        </w:tabs>
        <w:rPr>
          <w:szCs w:val="28"/>
        </w:rPr>
      </w:pPr>
      <w:bookmarkStart w:id="46" w:name="_Ref184816590"/>
      <w:bookmarkStart w:id="47" w:name="_Ref201143674"/>
      <w:bookmarkStart w:id="48" w:name="_Ref201330287"/>
      <w:r w:rsidRPr="00DA193A">
        <w:rPr>
          <w:lang w:val="en-GB"/>
        </w:rPr>
        <w:t xml:space="preserve">Compliance measures for </w:t>
      </w:r>
      <w:bookmarkEnd w:id="46"/>
      <w:bookmarkEnd w:id="47"/>
      <w:r w:rsidR="00E20540">
        <w:rPr>
          <w:szCs w:val="28"/>
        </w:rPr>
        <w:t>AI companion chatbot feature</w:t>
      </w:r>
      <w:r>
        <w:rPr>
          <w:szCs w:val="28"/>
        </w:rPr>
        <w:t>s</w:t>
      </w:r>
      <w:bookmarkEnd w:id="48"/>
    </w:p>
    <w:p w14:paraId="700A28AF" w14:textId="77777777" w:rsidR="002F65D1" w:rsidRDefault="00FC159E" w:rsidP="002F65D1">
      <w:pPr>
        <w:spacing w:before="120" w:after="120"/>
      </w:pPr>
      <w:r>
        <w:t>The compliance measures in this table apply to all AI companion chatbot features included as part of a social media service. An AI companion chatbot feature that meets the risk tier specified in the “Risk Tier” column in respect of a generative AI restricted category of material, must comply with that measure for the relevant generative AI restricted category of material. An AI companion chatbot feature may have a different risk profile for each generative AI restricted category of material. For example, an</w:t>
      </w:r>
      <w:r>
        <w:t xml:space="preserve"> AI companion chatbot feature may have a Tier 1 risk profile for online pornography but a Tier 2 or Tier 3 risk profile for all other generative AI restricted categories. In that case, the Tier 1 compliance measures for the AI companion chatbot feature will only apply in relation to online pornography.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56"/>
        <w:gridCol w:w="2156"/>
        <w:gridCol w:w="9836"/>
      </w:tblGrid>
      <w:tr w:rsidR="00367724" w14:paraId="43814C63" w14:textId="77777777" w:rsidTr="002F65D1">
        <w:trPr>
          <w:tblHeader/>
        </w:trPr>
        <w:tc>
          <w:tcPr>
            <w:tcW w:w="701" w:type="pct"/>
            <w:shd w:val="clear" w:color="auto" w:fill="000000"/>
          </w:tcPr>
          <w:p w14:paraId="50C7AC59" w14:textId="77777777" w:rsidR="002F65D1" w:rsidRDefault="00FC159E" w:rsidP="003345B3">
            <w:pPr>
              <w:spacing w:before="120" w:after="120"/>
              <w:jc w:val="center"/>
              <w:rPr>
                <w:b/>
              </w:rPr>
            </w:pPr>
            <w:r>
              <w:rPr>
                <w:b/>
              </w:rPr>
              <w:t>No.</w:t>
            </w:r>
          </w:p>
        </w:tc>
        <w:tc>
          <w:tcPr>
            <w:tcW w:w="773" w:type="pct"/>
            <w:shd w:val="clear" w:color="auto" w:fill="000000"/>
          </w:tcPr>
          <w:p w14:paraId="172BA608" w14:textId="77777777" w:rsidR="002F65D1" w:rsidRDefault="00FC159E" w:rsidP="003345B3">
            <w:pPr>
              <w:spacing w:before="120" w:after="120"/>
              <w:jc w:val="center"/>
              <w:rPr>
                <w:b/>
                <w:color w:val="FFFFFF"/>
              </w:rPr>
            </w:pPr>
            <w:r>
              <w:rPr>
                <w:b/>
                <w:color w:val="FFFFFF"/>
              </w:rPr>
              <w:t>Risk Tier</w:t>
            </w:r>
          </w:p>
        </w:tc>
        <w:tc>
          <w:tcPr>
            <w:tcW w:w="3526" w:type="pct"/>
            <w:shd w:val="clear" w:color="auto" w:fill="000000"/>
          </w:tcPr>
          <w:p w14:paraId="008D3044" w14:textId="77777777" w:rsidR="002F65D1" w:rsidRDefault="00FC159E" w:rsidP="003345B3">
            <w:pPr>
              <w:spacing w:before="120" w:after="120"/>
              <w:rPr>
                <w:b/>
                <w:color w:val="FFFFFF"/>
              </w:rPr>
            </w:pPr>
            <w:r>
              <w:rPr>
                <w:b/>
                <w:color w:val="FFFFFF"/>
              </w:rPr>
              <w:t>Compliance measure</w:t>
            </w:r>
          </w:p>
        </w:tc>
      </w:tr>
      <w:tr w:rsidR="00367724" w14:paraId="37CD06EE" w14:textId="77777777" w:rsidTr="002F65D1">
        <w:tc>
          <w:tcPr>
            <w:tcW w:w="701" w:type="pct"/>
            <w:shd w:val="clear" w:color="auto" w:fill="FFFFFF"/>
          </w:tcPr>
          <w:p w14:paraId="525C47D5" w14:textId="77777777" w:rsidR="002F65D1" w:rsidRDefault="00FC159E" w:rsidP="003345B3">
            <w:pPr>
              <w:spacing w:before="120" w:after="120"/>
              <w:jc w:val="center"/>
            </w:pPr>
            <w:r>
              <w:t>10.1</w:t>
            </w:r>
          </w:p>
        </w:tc>
        <w:tc>
          <w:tcPr>
            <w:tcW w:w="773" w:type="pct"/>
            <w:shd w:val="clear" w:color="auto" w:fill="FFFFFF"/>
          </w:tcPr>
          <w:p w14:paraId="393CA1D4" w14:textId="77777777" w:rsidR="002F65D1" w:rsidRDefault="00FC159E" w:rsidP="003345B3">
            <w:pPr>
              <w:spacing w:before="120" w:after="120"/>
              <w:jc w:val="center"/>
            </w:pPr>
            <w:r>
              <w:t>Tier 1</w:t>
            </w:r>
          </w:p>
        </w:tc>
        <w:tc>
          <w:tcPr>
            <w:tcW w:w="3526" w:type="pct"/>
            <w:shd w:val="clear" w:color="auto" w:fill="FFFFFF"/>
          </w:tcPr>
          <w:p w14:paraId="6619079F" w14:textId="77777777" w:rsidR="002F65D1" w:rsidRDefault="00FC159E" w:rsidP="003345B3">
            <w:pPr>
              <w:spacing w:before="120" w:after="120"/>
              <w:rPr>
                <w:b/>
              </w:rPr>
            </w:pPr>
            <w:r>
              <w:rPr>
                <w:b/>
              </w:rPr>
              <w:t xml:space="preserve">Age assurance measures </w:t>
            </w:r>
          </w:p>
          <w:p w14:paraId="69465525" w14:textId="77777777" w:rsidR="002F65D1" w:rsidRDefault="00FC159E" w:rsidP="003345B3">
            <w:pPr>
              <w:spacing w:before="120" w:after="120"/>
            </w:pPr>
            <w:r w:rsidRPr="003847FF">
              <w:t xml:space="preserve">A service provider </w:t>
            </w:r>
            <w:r>
              <w:t xml:space="preserve">must, where technically feasible and reasonably practicable, implement: </w:t>
            </w:r>
          </w:p>
          <w:p w14:paraId="4A3D6C58" w14:textId="77777777" w:rsidR="002F65D1" w:rsidRDefault="00FC159E" w:rsidP="003345B3">
            <w:pPr>
              <w:numPr>
                <w:ilvl w:val="0"/>
                <w:numId w:val="39"/>
              </w:numPr>
              <w:pBdr>
                <w:top w:val="nil"/>
                <w:left w:val="nil"/>
                <w:bottom w:val="nil"/>
                <w:right w:val="nil"/>
                <w:between w:val="nil"/>
              </w:pBdr>
              <w:spacing w:before="120" w:after="120"/>
              <w:rPr>
                <w:color w:val="000000"/>
              </w:rPr>
            </w:pPr>
            <w:r>
              <w:rPr>
                <w:color w:val="000000"/>
              </w:rPr>
              <w:t>appropriate age assurance measures; and</w:t>
            </w:r>
          </w:p>
          <w:p w14:paraId="31724822" w14:textId="77777777" w:rsidR="002F65D1" w:rsidRDefault="00FC159E" w:rsidP="003345B3">
            <w:pPr>
              <w:numPr>
                <w:ilvl w:val="0"/>
                <w:numId w:val="39"/>
              </w:numPr>
              <w:pBdr>
                <w:top w:val="nil"/>
                <w:left w:val="nil"/>
                <w:bottom w:val="nil"/>
                <w:right w:val="nil"/>
                <w:between w:val="nil"/>
              </w:pBdr>
              <w:spacing w:before="120" w:after="120"/>
              <w:rPr>
                <w:color w:val="000000"/>
              </w:rPr>
            </w:pPr>
            <w:r>
              <w:rPr>
                <w:color w:val="000000"/>
              </w:rPr>
              <w:t>access control measures,</w:t>
            </w:r>
          </w:p>
          <w:p w14:paraId="084603DE" w14:textId="77777777" w:rsidR="002F65D1" w:rsidRDefault="00FC159E" w:rsidP="003345B3">
            <w:pPr>
              <w:spacing w:before="120" w:after="120"/>
            </w:pPr>
            <w:r>
              <w:t>before providing access to the feature or being able to generate the generative AI restricted category of material. A service provider must also take appropriate steps to test and monitor the effectiveness of its age assurance and access control measures over time.</w:t>
            </w:r>
          </w:p>
          <w:p w14:paraId="010F0204" w14:textId="77777777" w:rsidR="002F65D1" w:rsidRPr="002F65D1" w:rsidRDefault="00FC159E" w:rsidP="003345B3">
            <w:pPr>
              <w:pStyle w:val="Heading3"/>
              <w:numPr>
                <w:ilvl w:val="0"/>
                <w:numId w:val="0"/>
              </w:numPr>
              <w:spacing w:before="120" w:after="120"/>
              <w:rPr>
                <w:sz w:val="16"/>
                <w:szCs w:val="16"/>
              </w:rPr>
            </w:pPr>
            <w:r w:rsidRPr="002F65D1">
              <w:rPr>
                <w:sz w:val="16"/>
                <w:szCs w:val="16"/>
                <w:u w:val="single"/>
              </w:rPr>
              <w:t>Note</w:t>
            </w:r>
            <w:r w:rsidRPr="002F65D1">
              <w:rPr>
                <w:sz w:val="16"/>
                <w:szCs w:val="16"/>
              </w:rPr>
              <w:t>: A service provider will need to comply with this measure for the generative AI restricted category of material for which it has a Tier</w:t>
            </w:r>
            <w:r>
              <w:rPr>
                <w:sz w:val="16"/>
                <w:szCs w:val="16"/>
              </w:rPr>
              <w:t> </w:t>
            </w:r>
            <w:r w:rsidRPr="002F65D1">
              <w:rPr>
                <w:sz w:val="16"/>
                <w:szCs w:val="16"/>
              </w:rPr>
              <w:t>1 risk profile.</w:t>
            </w:r>
          </w:p>
        </w:tc>
      </w:tr>
      <w:tr w:rsidR="00367724" w14:paraId="460C9E46" w14:textId="77777777" w:rsidTr="002F65D1">
        <w:tc>
          <w:tcPr>
            <w:tcW w:w="701" w:type="pct"/>
            <w:shd w:val="clear" w:color="auto" w:fill="FFFFFF"/>
          </w:tcPr>
          <w:p w14:paraId="4F8FAA22" w14:textId="77777777" w:rsidR="002F65D1" w:rsidRDefault="00FC159E" w:rsidP="003345B3">
            <w:pPr>
              <w:spacing w:before="120" w:after="120"/>
              <w:jc w:val="center"/>
            </w:pPr>
            <w:r>
              <w:t>10.2</w:t>
            </w:r>
          </w:p>
        </w:tc>
        <w:tc>
          <w:tcPr>
            <w:tcW w:w="773" w:type="pct"/>
            <w:shd w:val="clear" w:color="auto" w:fill="FFFFFF"/>
          </w:tcPr>
          <w:p w14:paraId="557EBF34" w14:textId="77777777" w:rsidR="002F65D1" w:rsidRDefault="00FC159E" w:rsidP="003345B3">
            <w:pPr>
              <w:spacing w:before="120" w:after="120"/>
              <w:jc w:val="center"/>
            </w:pPr>
            <w:r>
              <w:t>Tier 2</w:t>
            </w:r>
          </w:p>
        </w:tc>
        <w:tc>
          <w:tcPr>
            <w:tcW w:w="3526" w:type="pct"/>
            <w:shd w:val="clear" w:color="auto" w:fill="FFFFFF"/>
          </w:tcPr>
          <w:p w14:paraId="7A7A1A75" w14:textId="77777777" w:rsidR="002F65D1" w:rsidRDefault="00FC159E" w:rsidP="003345B3">
            <w:pPr>
              <w:spacing w:before="120" w:after="120"/>
            </w:pPr>
            <w:r>
              <w:rPr>
                <w:b/>
              </w:rPr>
              <w:t xml:space="preserve">Safety by design defaults </w:t>
            </w:r>
            <w:r>
              <w:t xml:space="preserve">– </w:t>
            </w:r>
            <w:r>
              <w:rPr>
                <w:b/>
              </w:rPr>
              <w:t>generative AI restricted categories of material</w:t>
            </w:r>
            <w:r>
              <w:t xml:space="preserve"> </w:t>
            </w:r>
          </w:p>
          <w:p w14:paraId="39560246" w14:textId="77777777" w:rsidR="002F65D1" w:rsidRDefault="00FC159E" w:rsidP="003345B3">
            <w:pPr>
              <w:spacing w:before="120" w:after="120"/>
            </w:pPr>
            <w:r>
              <w:t xml:space="preserve">A service provider must either: </w:t>
            </w:r>
          </w:p>
          <w:p w14:paraId="33A2165D" w14:textId="77777777" w:rsidR="002F65D1" w:rsidRDefault="00FC159E" w:rsidP="003345B3">
            <w:pPr>
              <w:numPr>
                <w:ilvl w:val="0"/>
                <w:numId w:val="41"/>
              </w:numPr>
              <w:spacing w:before="120" w:after="120"/>
              <w:rPr>
                <w:color w:val="000000"/>
              </w:rPr>
            </w:pPr>
            <w:r>
              <w:t xml:space="preserve">implement </w:t>
            </w:r>
            <w:r>
              <w:rPr>
                <w:color w:val="000000"/>
              </w:rPr>
              <w:t xml:space="preserve">the age assurance and access controls measures outlined in measure </w:t>
            </w:r>
            <w:r w:rsidRPr="002F65D1">
              <w:rPr>
                <w:color w:val="000000"/>
              </w:rPr>
              <w:t>10</w:t>
            </w:r>
            <w:r>
              <w:rPr>
                <w:color w:val="000000"/>
              </w:rPr>
              <w:t>.1 above before providing access to the feature, or being able to generate a generative AI restricted category of material; or</w:t>
            </w:r>
          </w:p>
          <w:p w14:paraId="6C40CCF1" w14:textId="77777777" w:rsidR="002F65D1" w:rsidRDefault="00FC159E" w:rsidP="003345B3">
            <w:pPr>
              <w:numPr>
                <w:ilvl w:val="0"/>
                <w:numId w:val="41"/>
              </w:numPr>
              <w:spacing w:before="120" w:after="120"/>
              <w:rPr>
                <w:color w:val="000000"/>
              </w:rPr>
            </w:pPr>
            <w:r>
              <w:rPr>
                <w:color w:val="000000"/>
              </w:rPr>
              <w:t>comply with the following:</w:t>
            </w:r>
          </w:p>
          <w:p w14:paraId="0D032D9E" w14:textId="77777777" w:rsidR="002F65D1" w:rsidRDefault="00FC159E" w:rsidP="003345B3">
            <w:pPr>
              <w:spacing w:before="120" w:after="120"/>
              <w:ind w:left="1440" w:hanging="703"/>
              <w:rPr>
                <w:color w:val="000000"/>
              </w:rPr>
            </w:pPr>
            <w:r>
              <w:rPr>
                <w:color w:val="000000"/>
              </w:rPr>
              <w:t>(i)</w:t>
            </w:r>
            <w:r>
              <w:rPr>
                <w:color w:val="000000"/>
              </w:rPr>
              <w:tab/>
              <w:t xml:space="preserve">implement systems, processes and/or technologies that prevent the feature from being used to generate outputs that contain a generative AI restricted category of material; </w:t>
            </w:r>
          </w:p>
          <w:p w14:paraId="4DF9C7CF" w14:textId="77777777" w:rsidR="002F65D1" w:rsidRDefault="00FC159E" w:rsidP="003345B3">
            <w:pPr>
              <w:spacing w:before="120" w:after="120"/>
              <w:ind w:left="1440" w:hanging="703"/>
              <w:rPr>
                <w:color w:val="000000"/>
              </w:rPr>
            </w:pPr>
            <w:r>
              <w:rPr>
                <w:color w:val="000000"/>
              </w:rPr>
              <w:t xml:space="preserve">(ii) </w:t>
            </w:r>
            <w:r>
              <w:rPr>
                <w:color w:val="000000"/>
              </w:rPr>
              <w:tab/>
              <w:t>regularly review and test models on the potential risk that model is used to generate a generative AI restricted category of material; and</w:t>
            </w:r>
          </w:p>
          <w:p w14:paraId="02733FFF" w14:textId="77777777" w:rsidR="002F65D1" w:rsidRDefault="00FC159E" w:rsidP="003345B3">
            <w:pPr>
              <w:spacing w:before="120" w:after="120"/>
              <w:ind w:left="1440" w:hanging="703"/>
              <w:rPr>
                <w:color w:val="000000"/>
              </w:rPr>
            </w:pPr>
            <w:r>
              <w:rPr>
                <w:color w:val="000000"/>
              </w:rPr>
              <w:t xml:space="preserve">(iii) </w:t>
            </w:r>
            <w:r>
              <w:rPr>
                <w:color w:val="000000"/>
              </w:rPr>
              <w:tab/>
              <w:t xml:space="preserve">promptly following review and/or testing, adjust models and deploy mitigations with the aim of reducing the misuse and unintentional use of models to generate a generative AI restricted category of material. </w:t>
            </w:r>
          </w:p>
          <w:p w14:paraId="1A6ACD6A" w14:textId="77777777" w:rsidR="002F65D1" w:rsidRDefault="00FC159E" w:rsidP="003345B3">
            <w:pPr>
              <w:pStyle w:val="Heading2"/>
              <w:numPr>
                <w:ilvl w:val="0"/>
                <w:numId w:val="0"/>
              </w:numPr>
              <w:ind w:left="737" w:hanging="737"/>
              <w:rPr>
                <w:i/>
                <w:sz w:val="20"/>
              </w:rPr>
            </w:pPr>
            <w:r>
              <w:rPr>
                <w:i/>
                <w:sz w:val="20"/>
              </w:rPr>
              <w:t>Guidance:</w:t>
            </w:r>
          </w:p>
          <w:p w14:paraId="0E5722B2" w14:textId="77777777" w:rsidR="002F65D1" w:rsidRDefault="00FC159E" w:rsidP="003345B3">
            <w:pPr>
              <w:pStyle w:val="Heading2"/>
              <w:numPr>
                <w:ilvl w:val="0"/>
                <w:numId w:val="0"/>
              </w:numPr>
              <w:tabs>
                <w:tab w:val="left" w:pos="4631"/>
              </w:tabs>
              <w:rPr>
                <w:b w:val="0"/>
                <w:i/>
                <w:sz w:val="20"/>
              </w:rPr>
            </w:pPr>
            <w:r>
              <w:rPr>
                <w:b w:val="0"/>
                <w:i/>
                <w:sz w:val="20"/>
              </w:rPr>
              <w:t>A requirement to put in place systems, processes, and/or technologies to prevent the feature from being used to generate outputs that contain a generative AI restricted category of material should take account of the fact that not all AI companion chatbot feature providers will always have sufficient visibility and control of their models—if a provider lacks that visibility or control of certain aspects so that it cannot deploy all mitigations, it will have to rely on other systems, processes and technologi</w:t>
            </w:r>
            <w:r>
              <w:rPr>
                <w:b w:val="0"/>
                <w:i/>
                <w:sz w:val="20"/>
              </w:rPr>
              <w:t>es that are available.</w:t>
            </w:r>
          </w:p>
          <w:p w14:paraId="3FDAC036" w14:textId="77777777" w:rsidR="002F65D1" w:rsidRPr="003847FF" w:rsidRDefault="00FC159E" w:rsidP="003345B3">
            <w:pPr>
              <w:pStyle w:val="Heading3"/>
              <w:numPr>
                <w:ilvl w:val="0"/>
                <w:numId w:val="0"/>
              </w:numPr>
              <w:spacing w:before="120" w:after="120"/>
              <w:rPr>
                <w:sz w:val="18"/>
                <w:szCs w:val="18"/>
              </w:rPr>
            </w:pPr>
            <w:r w:rsidRPr="003345B3">
              <w:rPr>
                <w:sz w:val="16"/>
                <w:szCs w:val="16"/>
                <w:u w:val="single"/>
              </w:rPr>
              <w:t>Note</w:t>
            </w:r>
            <w:r w:rsidRPr="003345B3">
              <w:rPr>
                <w:sz w:val="16"/>
                <w:szCs w:val="16"/>
              </w:rPr>
              <w:t>: A service provider will need to comply with this measure for the generative AI restricted category of material for which it has a Tier</w:t>
            </w:r>
            <w:r w:rsidR="003345B3">
              <w:rPr>
                <w:sz w:val="16"/>
                <w:szCs w:val="16"/>
              </w:rPr>
              <w:t> </w:t>
            </w:r>
            <w:r w:rsidRPr="003345B3">
              <w:rPr>
                <w:sz w:val="16"/>
                <w:szCs w:val="16"/>
              </w:rPr>
              <w:t>2 risk profile.</w:t>
            </w:r>
          </w:p>
        </w:tc>
      </w:tr>
      <w:tr w:rsidR="00367724" w14:paraId="3C78CE40" w14:textId="77777777" w:rsidTr="002F65D1">
        <w:tc>
          <w:tcPr>
            <w:tcW w:w="701" w:type="pct"/>
            <w:shd w:val="clear" w:color="auto" w:fill="FFFFFF"/>
          </w:tcPr>
          <w:p w14:paraId="6D20C848" w14:textId="77777777" w:rsidR="002F65D1" w:rsidRDefault="00FC159E" w:rsidP="003345B3">
            <w:pPr>
              <w:spacing w:before="120" w:after="120"/>
              <w:jc w:val="center"/>
            </w:pPr>
            <w:r>
              <w:t>10.3</w:t>
            </w:r>
          </w:p>
        </w:tc>
        <w:tc>
          <w:tcPr>
            <w:tcW w:w="773" w:type="pct"/>
            <w:shd w:val="clear" w:color="auto" w:fill="FFFFFF"/>
          </w:tcPr>
          <w:p w14:paraId="1DB05EBB" w14:textId="77777777" w:rsidR="002F65D1" w:rsidRDefault="00FC159E" w:rsidP="003345B3">
            <w:pPr>
              <w:spacing w:before="120" w:after="120"/>
              <w:jc w:val="center"/>
            </w:pPr>
            <w:r>
              <w:t>Tier 1 and Tier 2</w:t>
            </w:r>
          </w:p>
        </w:tc>
        <w:tc>
          <w:tcPr>
            <w:tcW w:w="3526" w:type="pct"/>
            <w:shd w:val="clear" w:color="auto" w:fill="FFFFFF"/>
          </w:tcPr>
          <w:p w14:paraId="122EE70E" w14:textId="77777777" w:rsidR="002F65D1" w:rsidRDefault="00FC159E" w:rsidP="003345B3">
            <w:pPr>
              <w:spacing w:before="120" w:after="120"/>
              <w:rPr>
                <w:b/>
              </w:rPr>
            </w:pPr>
            <w:r>
              <w:rPr>
                <w:b/>
              </w:rPr>
              <w:t xml:space="preserve">Terms and conditions </w:t>
            </w:r>
          </w:p>
          <w:p w14:paraId="2C62C3A0" w14:textId="77777777" w:rsidR="002F65D1" w:rsidRDefault="00FC159E" w:rsidP="003345B3">
            <w:pPr>
              <w:spacing w:before="120" w:after="120"/>
            </w:pPr>
            <w:r w:rsidRPr="003847FF">
              <w:t xml:space="preserve">A service </w:t>
            </w:r>
            <w:r>
              <w:t>provider must have, and enforce, clear actions, policies or terms and conditions relating to the generation of generative AI restricted categories of material, which will include, to the extent applicable, terms and conditions dealing with whether any type of generative AI restricted category of material is permitted to be generated using the feature. In implementing this measure, the service provider should:</w:t>
            </w:r>
          </w:p>
          <w:p w14:paraId="63F7AC29" w14:textId="77777777" w:rsidR="002F65D1" w:rsidRDefault="00FC159E" w:rsidP="003345B3">
            <w:pPr>
              <w:numPr>
                <w:ilvl w:val="0"/>
                <w:numId w:val="40"/>
              </w:numPr>
              <w:pBdr>
                <w:top w:val="nil"/>
                <w:left w:val="nil"/>
                <w:bottom w:val="nil"/>
                <w:right w:val="nil"/>
                <w:between w:val="nil"/>
              </w:pBdr>
              <w:spacing w:before="120" w:after="120"/>
              <w:rPr>
                <w:color w:val="000000"/>
              </w:rPr>
            </w:pPr>
            <w:r>
              <w:rPr>
                <w:color w:val="000000"/>
              </w:rPr>
              <w:t xml:space="preserve">use simple, plain, and straightforward language; </w:t>
            </w:r>
          </w:p>
          <w:p w14:paraId="2F949556" w14:textId="77777777" w:rsidR="002F65D1" w:rsidRDefault="00FC159E" w:rsidP="003345B3">
            <w:pPr>
              <w:numPr>
                <w:ilvl w:val="0"/>
                <w:numId w:val="40"/>
              </w:numPr>
              <w:pBdr>
                <w:top w:val="nil"/>
                <w:left w:val="nil"/>
                <w:bottom w:val="nil"/>
                <w:right w:val="nil"/>
                <w:between w:val="nil"/>
              </w:pBdr>
              <w:spacing w:before="120" w:after="120"/>
              <w:rPr>
                <w:color w:val="000000"/>
              </w:rPr>
            </w:pPr>
            <w:r>
              <w:rPr>
                <w:color w:val="000000"/>
              </w:rPr>
              <w:t>to the extent practicable, be clear about the type of any material that is prohibited; and</w:t>
            </w:r>
          </w:p>
          <w:p w14:paraId="7231C20E" w14:textId="77777777" w:rsidR="002F65D1" w:rsidRDefault="00FC159E" w:rsidP="003345B3">
            <w:pPr>
              <w:numPr>
                <w:ilvl w:val="0"/>
                <w:numId w:val="40"/>
              </w:numPr>
              <w:pBdr>
                <w:top w:val="nil"/>
                <w:left w:val="nil"/>
                <w:bottom w:val="nil"/>
                <w:right w:val="nil"/>
                <w:between w:val="nil"/>
              </w:pBdr>
              <w:spacing w:before="120" w:after="120"/>
              <w:rPr>
                <w:color w:val="000000"/>
              </w:rPr>
            </w:pPr>
            <w:r>
              <w:rPr>
                <w:color w:val="000000"/>
              </w:rPr>
              <w:t>communicate such terms and conditions, standards and/or policies to all personnel that are directly involved in their enforcement.</w:t>
            </w:r>
          </w:p>
          <w:p w14:paraId="79EE8DAA" w14:textId="77777777" w:rsidR="002F65D1" w:rsidRDefault="00FC159E" w:rsidP="003345B3">
            <w:pPr>
              <w:spacing w:before="120" w:after="120"/>
            </w:pPr>
            <w:r>
              <w:t>Relevant policies and actions should be implemented according to a graduated, risk-based approach. This approach may be different for different types of material.</w:t>
            </w:r>
          </w:p>
          <w:p w14:paraId="4FBDB941" w14:textId="77777777" w:rsidR="002F65D1" w:rsidRPr="003847FF" w:rsidRDefault="00FC159E" w:rsidP="003345B3">
            <w:pPr>
              <w:spacing w:before="120" w:after="120"/>
              <w:rPr>
                <w:sz w:val="18"/>
                <w:szCs w:val="18"/>
              </w:rPr>
            </w:pPr>
            <w:r w:rsidRPr="003345B3">
              <w:rPr>
                <w:sz w:val="16"/>
                <w:szCs w:val="16"/>
                <w:u w:val="single"/>
              </w:rPr>
              <w:t>Note</w:t>
            </w:r>
            <w:r w:rsidRPr="003345B3">
              <w:rPr>
                <w:sz w:val="16"/>
                <w:szCs w:val="16"/>
              </w:rPr>
              <w:t>: A service provider will need to comply with this measure for the generative AI restricted category of material for which it has a Tier</w:t>
            </w:r>
            <w:r w:rsidR="003345B3">
              <w:rPr>
                <w:sz w:val="16"/>
                <w:szCs w:val="16"/>
              </w:rPr>
              <w:t> </w:t>
            </w:r>
            <w:r w:rsidRPr="003345B3">
              <w:rPr>
                <w:sz w:val="16"/>
                <w:szCs w:val="16"/>
              </w:rPr>
              <w:t>1 or Tier 2 risk profile.</w:t>
            </w:r>
          </w:p>
        </w:tc>
      </w:tr>
      <w:tr w:rsidR="00367724" w14:paraId="1B926697" w14:textId="77777777" w:rsidTr="002F65D1">
        <w:tc>
          <w:tcPr>
            <w:tcW w:w="701" w:type="pct"/>
            <w:shd w:val="clear" w:color="auto" w:fill="FFFFFF"/>
          </w:tcPr>
          <w:p w14:paraId="018D4CB6" w14:textId="77777777" w:rsidR="002F65D1" w:rsidRDefault="00FC159E" w:rsidP="003345B3">
            <w:pPr>
              <w:spacing w:before="120" w:after="120"/>
              <w:jc w:val="center"/>
            </w:pPr>
            <w:r>
              <w:t>10.4</w:t>
            </w:r>
          </w:p>
        </w:tc>
        <w:tc>
          <w:tcPr>
            <w:tcW w:w="773" w:type="pct"/>
            <w:shd w:val="clear" w:color="auto" w:fill="FFFFFF"/>
          </w:tcPr>
          <w:p w14:paraId="24C4A554" w14:textId="77777777" w:rsidR="002F65D1" w:rsidRDefault="00FC159E" w:rsidP="003345B3">
            <w:pPr>
              <w:spacing w:before="120" w:after="120"/>
              <w:jc w:val="center"/>
            </w:pPr>
            <w:r>
              <w:t>Tier 1 and Tier 2</w:t>
            </w:r>
          </w:p>
        </w:tc>
        <w:tc>
          <w:tcPr>
            <w:tcW w:w="3526" w:type="pct"/>
            <w:shd w:val="clear" w:color="auto" w:fill="FFFFFF"/>
          </w:tcPr>
          <w:p w14:paraId="27075EBC" w14:textId="77777777" w:rsidR="002F65D1" w:rsidRDefault="00FC159E" w:rsidP="003345B3">
            <w:pPr>
              <w:tabs>
                <w:tab w:val="left" w:pos="9243"/>
              </w:tabs>
              <w:spacing w:before="120" w:after="120"/>
              <w:rPr>
                <w:b/>
                <w:color w:val="000000"/>
              </w:rPr>
            </w:pPr>
            <w:r>
              <w:rPr>
                <w:b/>
                <w:color w:val="000000"/>
              </w:rPr>
              <w:t xml:space="preserve">Reporting mechanisms </w:t>
            </w:r>
          </w:p>
          <w:p w14:paraId="60CA21C2" w14:textId="77777777" w:rsidR="002F65D1" w:rsidRDefault="00FC159E" w:rsidP="003345B3">
            <w:pPr>
              <w:tabs>
                <w:tab w:val="left" w:pos="9243"/>
              </w:tabs>
              <w:spacing w:before="120" w:after="120"/>
              <w:rPr>
                <w:color w:val="000000"/>
              </w:rPr>
            </w:pPr>
            <w:r w:rsidRPr="003847FF">
              <w:t xml:space="preserve">A service </w:t>
            </w:r>
            <w:r>
              <w:rPr>
                <w:color w:val="000000"/>
              </w:rPr>
              <w:t xml:space="preserve">provider must provide tools which enable Australian end-users to report a </w:t>
            </w:r>
            <w:r>
              <w:t xml:space="preserve">generative AI restricted category of material </w:t>
            </w:r>
            <w:r>
              <w:rPr>
                <w:color w:val="000000"/>
              </w:rPr>
              <w:t>generated using the feature which they consider may be contrary to the social media service’s terms and conditions, and must where appropriate ensure that these reports are evaluated and actioned.</w:t>
            </w:r>
          </w:p>
          <w:p w14:paraId="457DEE4C" w14:textId="77777777" w:rsidR="002F65D1" w:rsidRDefault="00FC159E" w:rsidP="003345B3">
            <w:pPr>
              <w:pBdr>
                <w:top w:val="nil"/>
                <w:left w:val="nil"/>
                <w:bottom w:val="nil"/>
                <w:right w:val="nil"/>
                <w:between w:val="nil"/>
              </w:pBdr>
              <w:spacing w:before="120" w:after="120"/>
              <w:rPr>
                <w:color w:val="000000"/>
              </w:rPr>
            </w:pPr>
            <w:r>
              <w:rPr>
                <w:color w:val="000000"/>
              </w:rPr>
              <w:t>Such reporting mechanisms must:</w:t>
            </w:r>
          </w:p>
          <w:p w14:paraId="0B2BC177" w14:textId="77777777" w:rsidR="002F65D1" w:rsidRDefault="00FC159E" w:rsidP="003345B3">
            <w:pPr>
              <w:numPr>
                <w:ilvl w:val="0"/>
                <w:numId w:val="43"/>
              </w:numPr>
              <w:pBdr>
                <w:top w:val="nil"/>
                <w:left w:val="nil"/>
                <w:bottom w:val="nil"/>
                <w:right w:val="nil"/>
                <w:between w:val="nil"/>
              </w:pBdr>
              <w:spacing w:before="120" w:after="120"/>
              <w:rPr>
                <w:color w:val="000000"/>
              </w:rPr>
            </w:pPr>
            <w:r>
              <w:rPr>
                <w:color w:val="000000"/>
              </w:rPr>
              <w:t xml:space="preserve">be easily accessible and easy to use; </w:t>
            </w:r>
          </w:p>
          <w:p w14:paraId="28A99C44" w14:textId="77777777" w:rsidR="002F65D1" w:rsidRDefault="00FC159E" w:rsidP="003345B3">
            <w:pPr>
              <w:numPr>
                <w:ilvl w:val="0"/>
                <w:numId w:val="43"/>
              </w:numPr>
              <w:pBdr>
                <w:top w:val="nil"/>
                <w:left w:val="nil"/>
                <w:bottom w:val="nil"/>
                <w:right w:val="nil"/>
                <w:between w:val="nil"/>
              </w:pBdr>
              <w:spacing w:before="120" w:after="120"/>
              <w:rPr>
                <w:color w:val="000000"/>
              </w:rPr>
            </w:pPr>
            <w:r>
              <w:rPr>
                <w:color w:val="000000"/>
              </w:rPr>
              <w:t>be accompanied by clear instructions on how to use them; a</w:t>
            </w:r>
            <w:r w:rsidRPr="003345B3">
              <w:rPr>
                <w:color w:val="000000"/>
              </w:rPr>
              <w:t>nd</w:t>
            </w:r>
          </w:p>
          <w:p w14:paraId="0DDCB2B9" w14:textId="77777777" w:rsidR="002F65D1" w:rsidRDefault="00FC159E" w:rsidP="003345B3">
            <w:pPr>
              <w:numPr>
                <w:ilvl w:val="0"/>
                <w:numId w:val="43"/>
              </w:numPr>
              <w:pBdr>
                <w:top w:val="nil"/>
                <w:left w:val="nil"/>
                <w:bottom w:val="nil"/>
                <w:right w:val="nil"/>
                <w:between w:val="nil"/>
              </w:pBdr>
              <w:spacing w:before="120" w:after="120"/>
            </w:pPr>
            <w:r>
              <w:rPr>
                <w:color w:val="000000"/>
              </w:rPr>
              <w:t xml:space="preserve">ensure that the identity of a complainant is not </w:t>
            </w:r>
            <w:r w:rsidRPr="003847FF">
              <w:t>disclosed to the reported end-user or account holder (i.e., the individual who has been reported should not be able to see the person who reported them), without the reporter’s express consent</w:t>
            </w:r>
            <w:r>
              <w:rPr>
                <w:color w:val="000000"/>
              </w:rPr>
              <w:t>, except as required by law.</w:t>
            </w:r>
          </w:p>
          <w:p w14:paraId="66C12AC3" w14:textId="77777777" w:rsidR="002F65D1" w:rsidRPr="003345B3" w:rsidRDefault="00FC159E" w:rsidP="003345B3">
            <w:pPr>
              <w:spacing w:before="120" w:after="120"/>
              <w:rPr>
                <w:sz w:val="18"/>
                <w:szCs w:val="18"/>
              </w:rPr>
            </w:pPr>
            <w:r w:rsidRPr="003345B3">
              <w:rPr>
                <w:sz w:val="16"/>
                <w:szCs w:val="16"/>
                <w:u w:val="single"/>
              </w:rPr>
              <w:t>Note</w:t>
            </w:r>
            <w:r w:rsidRPr="003345B3">
              <w:rPr>
                <w:sz w:val="16"/>
                <w:szCs w:val="16"/>
              </w:rPr>
              <w:t>: A service provider will need to comply with this measure for the generative AI restricted category of material for which it has a Tier</w:t>
            </w:r>
            <w:r w:rsidR="003345B3">
              <w:rPr>
                <w:sz w:val="16"/>
                <w:szCs w:val="16"/>
              </w:rPr>
              <w:t> </w:t>
            </w:r>
            <w:r w:rsidRPr="003345B3">
              <w:rPr>
                <w:sz w:val="16"/>
                <w:szCs w:val="16"/>
              </w:rPr>
              <w:t>1 or Tier 2 risk profile.</w:t>
            </w:r>
          </w:p>
        </w:tc>
      </w:tr>
      <w:tr w:rsidR="00367724" w14:paraId="6C03C96C" w14:textId="77777777" w:rsidTr="002F65D1">
        <w:tc>
          <w:tcPr>
            <w:tcW w:w="701" w:type="pct"/>
            <w:shd w:val="clear" w:color="auto" w:fill="FFFFFF"/>
          </w:tcPr>
          <w:p w14:paraId="5A7669F9" w14:textId="77777777" w:rsidR="002F65D1" w:rsidRDefault="00FC159E" w:rsidP="003345B3">
            <w:pPr>
              <w:spacing w:before="120" w:after="120"/>
              <w:jc w:val="center"/>
            </w:pPr>
            <w:r>
              <w:t>10.5</w:t>
            </w:r>
          </w:p>
        </w:tc>
        <w:tc>
          <w:tcPr>
            <w:tcW w:w="773" w:type="pct"/>
            <w:shd w:val="clear" w:color="auto" w:fill="FFFFFF"/>
          </w:tcPr>
          <w:p w14:paraId="0BCC5B5D" w14:textId="77777777" w:rsidR="002F65D1" w:rsidRDefault="00FC159E" w:rsidP="003345B3">
            <w:pPr>
              <w:spacing w:before="120" w:after="120"/>
              <w:jc w:val="center"/>
            </w:pPr>
            <w:r>
              <w:t>Tier 1</w:t>
            </w:r>
          </w:p>
        </w:tc>
        <w:tc>
          <w:tcPr>
            <w:tcW w:w="3526" w:type="pct"/>
            <w:shd w:val="clear" w:color="auto" w:fill="FFFFFF"/>
          </w:tcPr>
          <w:p w14:paraId="39D9B376" w14:textId="77777777" w:rsidR="002F65D1" w:rsidRDefault="00FC159E" w:rsidP="003345B3">
            <w:pPr>
              <w:pBdr>
                <w:top w:val="nil"/>
                <w:left w:val="nil"/>
                <w:bottom w:val="nil"/>
                <w:right w:val="nil"/>
                <w:between w:val="nil"/>
              </w:pBdr>
              <w:spacing w:before="120" w:after="120"/>
              <w:rPr>
                <w:b/>
              </w:rPr>
            </w:pPr>
            <w:r>
              <w:rPr>
                <w:b/>
              </w:rPr>
              <w:t xml:space="preserve">On-platform reporting tools </w:t>
            </w:r>
          </w:p>
          <w:p w14:paraId="6FC683F1" w14:textId="77777777" w:rsidR="002F65D1" w:rsidRDefault="00FC159E" w:rsidP="003345B3">
            <w:pPr>
              <w:pBdr>
                <w:top w:val="nil"/>
                <w:left w:val="nil"/>
                <w:bottom w:val="nil"/>
                <w:right w:val="nil"/>
                <w:between w:val="nil"/>
              </w:pBdr>
              <w:spacing w:before="120" w:after="120"/>
              <w:rPr>
                <w:color w:val="000000"/>
              </w:rPr>
            </w:pPr>
            <w:r w:rsidRPr="003847FF">
              <w:t xml:space="preserve">A service </w:t>
            </w:r>
            <w:r>
              <w:t xml:space="preserve">provider </w:t>
            </w:r>
            <w:r>
              <w:rPr>
                <w:color w:val="000000"/>
              </w:rPr>
              <w:t>must ensure that the reporting tools referred to in measure 7.5 above are available and accessible to Australian end-users on-the interface of the social media service.</w:t>
            </w:r>
          </w:p>
          <w:p w14:paraId="2DC098BB" w14:textId="77777777" w:rsidR="002F65D1" w:rsidRDefault="00FC159E" w:rsidP="003345B3">
            <w:pPr>
              <w:tabs>
                <w:tab w:val="left" w:pos="9243"/>
              </w:tabs>
              <w:spacing w:before="120" w:after="120"/>
              <w:rPr>
                <w:b/>
                <w:i/>
                <w:color w:val="000000"/>
              </w:rPr>
            </w:pPr>
            <w:r>
              <w:rPr>
                <w:b/>
                <w:i/>
                <w:color w:val="000000"/>
              </w:rPr>
              <w:t>Guidance:</w:t>
            </w:r>
          </w:p>
          <w:p w14:paraId="50B0123A" w14:textId="77777777" w:rsidR="002F65D1" w:rsidRDefault="00FC159E" w:rsidP="003345B3">
            <w:pPr>
              <w:tabs>
                <w:tab w:val="left" w:pos="9243"/>
              </w:tabs>
              <w:spacing w:before="120" w:after="120"/>
              <w:rPr>
                <w:i/>
                <w:color w:val="000000"/>
              </w:rPr>
            </w:pPr>
            <w:r>
              <w:rPr>
                <w:i/>
                <w:color w:val="000000"/>
              </w:rPr>
              <w:t>In implementing these measures, the provider should ensure that reporting tools are integrated within the functionality of the social media service in a manner that is visible and accessible at the point the Australian end-user generates materials.</w:t>
            </w:r>
          </w:p>
          <w:p w14:paraId="0DB8222D" w14:textId="77777777" w:rsidR="002F65D1" w:rsidRPr="003847FF" w:rsidRDefault="00FC159E" w:rsidP="003345B3">
            <w:pPr>
              <w:tabs>
                <w:tab w:val="left" w:pos="9243"/>
              </w:tabs>
              <w:spacing w:before="120" w:after="120"/>
              <w:rPr>
                <w:sz w:val="18"/>
                <w:szCs w:val="18"/>
              </w:rPr>
            </w:pPr>
            <w:r w:rsidRPr="003345B3">
              <w:rPr>
                <w:sz w:val="16"/>
                <w:szCs w:val="16"/>
                <w:u w:val="single"/>
              </w:rPr>
              <w:t>Note</w:t>
            </w:r>
            <w:r w:rsidRPr="003345B3">
              <w:rPr>
                <w:sz w:val="16"/>
                <w:szCs w:val="16"/>
              </w:rPr>
              <w:t>: A service provider will need to comply with this measure for the generative AI restricted category of material for which it has a Tier</w:t>
            </w:r>
            <w:r w:rsidR="003345B3">
              <w:rPr>
                <w:sz w:val="16"/>
                <w:szCs w:val="16"/>
              </w:rPr>
              <w:t> </w:t>
            </w:r>
            <w:r w:rsidRPr="003345B3">
              <w:rPr>
                <w:sz w:val="16"/>
                <w:szCs w:val="16"/>
              </w:rPr>
              <w:t>1 risk profile.</w:t>
            </w:r>
          </w:p>
        </w:tc>
      </w:tr>
      <w:tr w:rsidR="00367724" w14:paraId="011609A7" w14:textId="77777777" w:rsidTr="002F65D1">
        <w:tc>
          <w:tcPr>
            <w:tcW w:w="701" w:type="pct"/>
            <w:shd w:val="clear" w:color="auto" w:fill="FFFFFF"/>
          </w:tcPr>
          <w:p w14:paraId="68533376" w14:textId="77777777" w:rsidR="002F65D1" w:rsidRDefault="00FC159E" w:rsidP="003345B3">
            <w:pPr>
              <w:spacing w:before="120" w:after="120"/>
              <w:jc w:val="center"/>
            </w:pPr>
            <w:r>
              <w:t>10.6</w:t>
            </w:r>
          </w:p>
        </w:tc>
        <w:tc>
          <w:tcPr>
            <w:tcW w:w="773" w:type="pct"/>
            <w:shd w:val="clear" w:color="auto" w:fill="FFFFFF"/>
          </w:tcPr>
          <w:p w14:paraId="5AEA2030" w14:textId="77777777" w:rsidR="002F65D1" w:rsidRDefault="00FC159E" w:rsidP="003345B3">
            <w:pPr>
              <w:spacing w:before="120" w:after="120"/>
              <w:jc w:val="center"/>
            </w:pPr>
            <w:r>
              <w:t>Tier 1 and Tier 2</w:t>
            </w:r>
          </w:p>
        </w:tc>
        <w:tc>
          <w:tcPr>
            <w:tcW w:w="3526" w:type="pct"/>
            <w:shd w:val="clear" w:color="auto" w:fill="FFFFFF"/>
          </w:tcPr>
          <w:p w14:paraId="62E1C7F9" w14:textId="77777777" w:rsidR="002F65D1" w:rsidRDefault="00FC159E" w:rsidP="003345B3">
            <w:pPr>
              <w:tabs>
                <w:tab w:val="left" w:pos="9243"/>
              </w:tabs>
              <w:spacing w:before="120" w:after="120"/>
              <w:rPr>
                <w:b/>
              </w:rPr>
            </w:pPr>
            <w:r>
              <w:rPr>
                <w:b/>
              </w:rPr>
              <w:t>Information about how services deal with generative AI restricted categories of material</w:t>
            </w:r>
            <w:r>
              <w:t xml:space="preserve"> </w:t>
            </w:r>
          </w:p>
          <w:p w14:paraId="0AC182F0" w14:textId="77777777" w:rsidR="002F65D1" w:rsidRDefault="00FC159E" w:rsidP="003345B3">
            <w:pPr>
              <w:tabs>
                <w:tab w:val="left" w:pos="9243"/>
              </w:tabs>
              <w:spacing w:before="120" w:after="120"/>
            </w:pPr>
            <w:r w:rsidRPr="003847FF">
              <w:t xml:space="preserve">A service </w:t>
            </w:r>
            <w:r>
              <w:t>provider must publish clear and accessible information that explains the actions they take to reduce the risk of harm to Australian children caused by the generation of a generative AI restricted category of material using the feature.</w:t>
            </w:r>
          </w:p>
          <w:p w14:paraId="3CC8DEBF" w14:textId="77777777" w:rsidR="002F65D1" w:rsidRPr="003847FF" w:rsidRDefault="00FC159E" w:rsidP="003345B3">
            <w:pPr>
              <w:tabs>
                <w:tab w:val="left" w:pos="9243"/>
              </w:tabs>
              <w:spacing w:before="120" w:after="120"/>
              <w:rPr>
                <w:sz w:val="18"/>
                <w:szCs w:val="18"/>
              </w:rPr>
            </w:pPr>
            <w:r w:rsidRPr="003345B3">
              <w:rPr>
                <w:sz w:val="16"/>
                <w:szCs w:val="16"/>
                <w:u w:val="single"/>
              </w:rPr>
              <w:t>Note</w:t>
            </w:r>
            <w:r w:rsidRPr="003345B3">
              <w:rPr>
                <w:sz w:val="16"/>
                <w:szCs w:val="16"/>
              </w:rPr>
              <w:t>: A service provider will need to comply with this measure for the generative AI restricted category of material for which it has a Tier</w:t>
            </w:r>
            <w:r w:rsidR="003345B3">
              <w:rPr>
                <w:sz w:val="16"/>
                <w:szCs w:val="16"/>
              </w:rPr>
              <w:t> </w:t>
            </w:r>
            <w:r w:rsidRPr="003345B3">
              <w:rPr>
                <w:sz w:val="16"/>
                <w:szCs w:val="16"/>
              </w:rPr>
              <w:t>1 or Tier 2 risk profile.</w:t>
            </w:r>
          </w:p>
        </w:tc>
      </w:tr>
      <w:tr w:rsidR="00367724" w14:paraId="40E122EA" w14:textId="77777777" w:rsidTr="002F65D1">
        <w:tc>
          <w:tcPr>
            <w:tcW w:w="701" w:type="pct"/>
            <w:shd w:val="clear" w:color="auto" w:fill="FFFFFF"/>
          </w:tcPr>
          <w:p w14:paraId="457CEAFD" w14:textId="77777777" w:rsidR="002F65D1" w:rsidRDefault="00FC159E" w:rsidP="003345B3">
            <w:pPr>
              <w:spacing w:before="120" w:after="120"/>
              <w:jc w:val="center"/>
            </w:pPr>
            <w:r>
              <w:t>10.7</w:t>
            </w:r>
          </w:p>
        </w:tc>
        <w:tc>
          <w:tcPr>
            <w:tcW w:w="773" w:type="pct"/>
            <w:shd w:val="clear" w:color="auto" w:fill="FFFFFF"/>
          </w:tcPr>
          <w:p w14:paraId="644FC2E7" w14:textId="77777777" w:rsidR="002F65D1" w:rsidRDefault="00FC159E" w:rsidP="003345B3">
            <w:pPr>
              <w:spacing w:before="120" w:after="120"/>
              <w:jc w:val="center"/>
            </w:pPr>
            <w:r>
              <w:t>Tier 1 and Tier 2</w:t>
            </w:r>
          </w:p>
        </w:tc>
        <w:tc>
          <w:tcPr>
            <w:tcW w:w="3526" w:type="pct"/>
            <w:shd w:val="clear" w:color="auto" w:fill="FFFFFF"/>
          </w:tcPr>
          <w:p w14:paraId="62F4F8CC" w14:textId="77777777" w:rsidR="002F65D1" w:rsidRPr="003847FF" w:rsidRDefault="00FC159E" w:rsidP="003345B3">
            <w:pPr>
              <w:spacing w:before="120" w:after="120"/>
              <w:rPr>
                <w:b/>
              </w:rPr>
            </w:pPr>
            <w:r w:rsidRPr="003847FF">
              <w:rPr>
                <w:b/>
              </w:rPr>
              <w:t xml:space="preserve">Updates to eSafety about relevant changes to technology </w:t>
            </w:r>
          </w:p>
          <w:p w14:paraId="6AF9A4FD" w14:textId="77777777" w:rsidR="002F65D1" w:rsidRDefault="00FC159E" w:rsidP="003345B3">
            <w:pPr>
              <w:spacing w:before="120" w:after="120"/>
            </w:pPr>
            <w:r>
              <w:t xml:space="preserve">A service provider must take reasonable steps to ensure eSafety receives updates regarding significant changes to the functionality of their AI companion chatbot feature that are likely to have a material positive or negative effect on the risk of generation of a generative AI restricted category of material by an Australian child. A service provider may choose to provide this information in an annual report to eSafety under this Code. </w:t>
            </w:r>
          </w:p>
          <w:p w14:paraId="063B79EC" w14:textId="77777777" w:rsidR="002F65D1" w:rsidRDefault="00FC159E" w:rsidP="003345B3">
            <w:pPr>
              <w:spacing w:before="120" w:after="120"/>
            </w:pPr>
            <w:r>
              <w:t>In implementing this measure, a provider is not required to disclose information to eSafety that is confidential.</w:t>
            </w:r>
          </w:p>
          <w:p w14:paraId="32C0F786" w14:textId="77777777" w:rsidR="002F65D1" w:rsidRPr="003847FF" w:rsidRDefault="00FC159E" w:rsidP="003345B3">
            <w:pPr>
              <w:spacing w:before="120" w:after="120"/>
              <w:rPr>
                <w:i/>
              </w:rPr>
            </w:pPr>
            <w:r w:rsidRPr="003345B3">
              <w:rPr>
                <w:b/>
                <w:bCs/>
                <w:i/>
              </w:rPr>
              <w:t>Guidance</w:t>
            </w:r>
            <w:r w:rsidRPr="003847FF">
              <w:rPr>
                <w:i/>
              </w:rPr>
              <w:t>:</w:t>
            </w:r>
          </w:p>
          <w:p w14:paraId="2FE4B0A3" w14:textId="77777777" w:rsidR="002F65D1" w:rsidRPr="003847FF" w:rsidRDefault="00FC159E" w:rsidP="003345B3">
            <w:pPr>
              <w:spacing w:before="120" w:after="120"/>
              <w:rPr>
                <w:i/>
              </w:rPr>
            </w:pPr>
            <w:r w:rsidRPr="003847FF">
              <w:rPr>
                <w:i/>
              </w:rPr>
              <w:t>Changes that have a material negative effect should, ideally be communicated before a public announcement of the relevant changes.</w:t>
            </w:r>
          </w:p>
          <w:p w14:paraId="735938B3" w14:textId="77777777" w:rsidR="002F65D1" w:rsidRPr="003345B3" w:rsidRDefault="00FC159E" w:rsidP="003345B3">
            <w:pPr>
              <w:spacing w:before="120" w:after="120"/>
            </w:pPr>
            <w:r w:rsidRPr="003345B3">
              <w:rPr>
                <w:sz w:val="16"/>
                <w:szCs w:val="16"/>
                <w:u w:val="single"/>
              </w:rPr>
              <w:t>Note</w:t>
            </w:r>
            <w:r w:rsidRPr="003345B3">
              <w:rPr>
                <w:sz w:val="16"/>
                <w:szCs w:val="16"/>
              </w:rPr>
              <w:t>: A service provider will need to comply with this measure for the generative AI restricted category of material for which it has a Tier</w:t>
            </w:r>
            <w:r w:rsidR="003345B3">
              <w:rPr>
                <w:sz w:val="16"/>
                <w:szCs w:val="16"/>
              </w:rPr>
              <w:t> </w:t>
            </w:r>
            <w:r w:rsidRPr="003345B3">
              <w:rPr>
                <w:sz w:val="16"/>
                <w:szCs w:val="16"/>
              </w:rPr>
              <w:t>1 or Tier 2 risk profile.</w:t>
            </w:r>
          </w:p>
        </w:tc>
      </w:tr>
      <w:tr w:rsidR="00367724" w14:paraId="507BC1CF" w14:textId="77777777" w:rsidTr="002F65D1">
        <w:tc>
          <w:tcPr>
            <w:tcW w:w="701" w:type="pct"/>
            <w:shd w:val="clear" w:color="auto" w:fill="FFFFFF"/>
          </w:tcPr>
          <w:p w14:paraId="18053677" w14:textId="77777777" w:rsidR="002F65D1" w:rsidRDefault="00FC159E" w:rsidP="003345B3">
            <w:pPr>
              <w:spacing w:before="120" w:after="120"/>
              <w:jc w:val="center"/>
            </w:pPr>
            <w:r>
              <w:t>10.8</w:t>
            </w:r>
          </w:p>
        </w:tc>
        <w:tc>
          <w:tcPr>
            <w:tcW w:w="773" w:type="pct"/>
            <w:shd w:val="clear" w:color="auto" w:fill="FFFFFF"/>
          </w:tcPr>
          <w:p w14:paraId="1B072356" w14:textId="77777777" w:rsidR="002F65D1" w:rsidRDefault="00FC159E" w:rsidP="003345B3">
            <w:pPr>
              <w:spacing w:before="120" w:after="120"/>
              <w:jc w:val="center"/>
            </w:pPr>
            <w:r>
              <w:t>Tier 1</w:t>
            </w:r>
          </w:p>
        </w:tc>
        <w:tc>
          <w:tcPr>
            <w:tcW w:w="3526" w:type="pct"/>
            <w:shd w:val="clear" w:color="auto" w:fill="FFFFFF"/>
          </w:tcPr>
          <w:p w14:paraId="7BE3653E" w14:textId="77777777" w:rsidR="002F65D1" w:rsidRPr="003847FF" w:rsidRDefault="00FC159E" w:rsidP="003345B3">
            <w:pPr>
              <w:pBdr>
                <w:top w:val="nil"/>
                <w:left w:val="nil"/>
                <w:bottom w:val="nil"/>
                <w:right w:val="nil"/>
                <w:between w:val="nil"/>
              </w:pBdr>
              <w:spacing w:before="120" w:after="120"/>
              <w:rPr>
                <w:b/>
              </w:rPr>
            </w:pPr>
            <w:r w:rsidRPr="003847FF">
              <w:rPr>
                <w:b/>
              </w:rPr>
              <w:t>Complaints tools</w:t>
            </w:r>
          </w:p>
          <w:p w14:paraId="5DAFF4E8" w14:textId="77777777" w:rsidR="002F65D1" w:rsidRDefault="00FC159E" w:rsidP="003345B3">
            <w:pPr>
              <w:pBdr>
                <w:top w:val="nil"/>
                <w:left w:val="nil"/>
                <w:bottom w:val="nil"/>
                <w:right w:val="nil"/>
                <w:between w:val="nil"/>
              </w:pBdr>
              <w:spacing w:before="120" w:after="120"/>
            </w:pPr>
            <w:r>
              <w:t>The</w:t>
            </w:r>
            <w:r>
              <w:t xml:space="preserve"> service provider must provide tools which enable Australian end-users to make a complaint about:</w:t>
            </w:r>
          </w:p>
          <w:p w14:paraId="42534C03" w14:textId="77777777" w:rsidR="002F65D1" w:rsidRDefault="00FC159E" w:rsidP="003345B3">
            <w:pPr>
              <w:numPr>
                <w:ilvl w:val="0"/>
                <w:numId w:val="44"/>
              </w:numPr>
              <w:pBdr>
                <w:top w:val="nil"/>
                <w:left w:val="nil"/>
                <w:bottom w:val="nil"/>
                <w:right w:val="nil"/>
                <w:between w:val="nil"/>
              </w:pBdr>
              <w:spacing w:before="120" w:after="120"/>
              <w:rPr>
                <w:color w:val="000000"/>
              </w:rPr>
            </w:pPr>
            <w:r w:rsidRPr="000154A7">
              <w:t>the provider’s handling of reports about a generative AI restricted category of material that is generated via the AI companion chatbot feature, except where the sole or predominant purpose of the feature is to provide access to the generative AI restricted category of material</w:t>
            </w:r>
            <w:r w:rsidRPr="003345B3">
              <w:rPr>
                <w:color w:val="000000"/>
              </w:rPr>
              <w:t>; and</w:t>
            </w:r>
          </w:p>
          <w:p w14:paraId="1097DFDE" w14:textId="77777777" w:rsidR="002F65D1" w:rsidRDefault="00FC159E" w:rsidP="003345B3">
            <w:pPr>
              <w:numPr>
                <w:ilvl w:val="0"/>
                <w:numId w:val="44"/>
              </w:numPr>
              <w:pBdr>
                <w:top w:val="nil"/>
                <w:left w:val="nil"/>
                <w:bottom w:val="nil"/>
                <w:right w:val="nil"/>
                <w:between w:val="nil"/>
              </w:pBdr>
              <w:spacing w:before="120" w:after="120"/>
              <w:rPr>
                <w:color w:val="000000"/>
              </w:rPr>
            </w:pPr>
            <w:r w:rsidRPr="003345B3">
              <w:rPr>
                <w:color w:val="000000"/>
              </w:rPr>
              <w:t>any other aspect</w:t>
            </w:r>
            <w:r>
              <w:t xml:space="preserve"> of the provider’s compliance with this Code. </w:t>
            </w:r>
          </w:p>
          <w:p w14:paraId="2D73F3C8" w14:textId="77777777" w:rsidR="002F65D1" w:rsidRDefault="00FC159E" w:rsidP="003345B3">
            <w:pPr>
              <w:pBdr>
                <w:top w:val="nil"/>
                <w:left w:val="nil"/>
                <w:bottom w:val="nil"/>
                <w:right w:val="nil"/>
                <w:between w:val="nil"/>
              </w:pBdr>
              <w:spacing w:before="120" w:after="120"/>
            </w:pPr>
            <w:r>
              <w:t>Such complaints tools must:</w:t>
            </w:r>
          </w:p>
          <w:p w14:paraId="545C18F8" w14:textId="77777777" w:rsidR="002F65D1" w:rsidRDefault="00FC159E" w:rsidP="003345B3">
            <w:pPr>
              <w:numPr>
                <w:ilvl w:val="0"/>
                <w:numId w:val="45"/>
              </w:numPr>
              <w:pBdr>
                <w:top w:val="nil"/>
                <w:left w:val="nil"/>
                <w:bottom w:val="nil"/>
                <w:right w:val="nil"/>
                <w:between w:val="nil"/>
              </w:pBdr>
              <w:spacing w:before="120" w:after="120"/>
              <w:rPr>
                <w:color w:val="000000"/>
              </w:rPr>
            </w:pPr>
            <w:r>
              <w:t xml:space="preserve">be easily accessible </w:t>
            </w:r>
            <w:r w:rsidRPr="003345B3">
              <w:rPr>
                <w:color w:val="000000"/>
              </w:rPr>
              <w:t xml:space="preserve">and simple to use; </w:t>
            </w:r>
          </w:p>
          <w:p w14:paraId="6C36CFB6" w14:textId="77777777" w:rsidR="002F65D1" w:rsidRDefault="00FC159E" w:rsidP="003345B3">
            <w:pPr>
              <w:numPr>
                <w:ilvl w:val="0"/>
                <w:numId w:val="45"/>
              </w:numPr>
              <w:pBdr>
                <w:top w:val="nil"/>
                <w:left w:val="nil"/>
                <w:bottom w:val="nil"/>
                <w:right w:val="nil"/>
                <w:between w:val="nil"/>
              </w:pBdr>
              <w:spacing w:before="120" w:after="120"/>
              <w:rPr>
                <w:color w:val="000000"/>
              </w:rPr>
            </w:pPr>
            <w:r w:rsidRPr="003345B3">
              <w:rPr>
                <w:color w:val="000000"/>
              </w:rPr>
              <w:t>be accompanied by</w:t>
            </w:r>
            <w:r>
              <w:t xml:space="preserve"> plain language instructions on how to use them.</w:t>
            </w:r>
          </w:p>
          <w:p w14:paraId="0DCB6F5C" w14:textId="77777777" w:rsidR="002F65D1" w:rsidRDefault="00FC159E" w:rsidP="003345B3">
            <w:pPr>
              <w:spacing w:before="120" w:after="120"/>
            </w:pPr>
            <w:r w:rsidRPr="003345B3">
              <w:rPr>
                <w:sz w:val="16"/>
                <w:szCs w:val="16"/>
                <w:u w:val="single"/>
              </w:rPr>
              <w:t>Note</w:t>
            </w:r>
            <w:r w:rsidRPr="003345B3">
              <w:rPr>
                <w:sz w:val="16"/>
                <w:szCs w:val="16"/>
              </w:rPr>
              <w:t>: A service provider will need to comply with this measure for the generative AI restricted category of material for which it has a Tier</w:t>
            </w:r>
            <w:r>
              <w:rPr>
                <w:sz w:val="16"/>
                <w:szCs w:val="16"/>
              </w:rPr>
              <w:t> </w:t>
            </w:r>
            <w:r w:rsidRPr="003345B3">
              <w:rPr>
                <w:sz w:val="16"/>
                <w:szCs w:val="16"/>
              </w:rPr>
              <w:t>1 risk profile.</w:t>
            </w:r>
          </w:p>
        </w:tc>
      </w:tr>
      <w:tr w:rsidR="00367724" w14:paraId="081618AC" w14:textId="77777777" w:rsidTr="002F65D1">
        <w:tc>
          <w:tcPr>
            <w:tcW w:w="701" w:type="pct"/>
            <w:shd w:val="clear" w:color="auto" w:fill="FFFFFF"/>
          </w:tcPr>
          <w:p w14:paraId="36C7148A" w14:textId="77777777" w:rsidR="002F65D1" w:rsidRDefault="00FC159E" w:rsidP="003345B3">
            <w:pPr>
              <w:spacing w:before="120" w:after="120"/>
              <w:jc w:val="center"/>
            </w:pPr>
            <w:r>
              <w:t>10.</w:t>
            </w:r>
            <w:r w:rsidR="000154A7">
              <w:t>9</w:t>
            </w:r>
          </w:p>
        </w:tc>
        <w:tc>
          <w:tcPr>
            <w:tcW w:w="773" w:type="pct"/>
            <w:shd w:val="clear" w:color="auto" w:fill="FFFFFF"/>
          </w:tcPr>
          <w:p w14:paraId="0E6BD305" w14:textId="77777777" w:rsidR="002F65D1" w:rsidRDefault="00FC159E" w:rsidP="003345B3">
            <w:pPr>
              <w:spacing w:before="120" w:after="120"/>
              <w:jc w:val="center"/>
            </w:pPr>
            <w:r>
              <w:t>Tier 1 and Tier 2</w:t>
            </w:r>
          </w:p>
        </w:tc>
        <w:tc>
          <w:tcPr>
            <w:tcW w:w="3526" w:type="pct"/>
            <w:shd w:val="clear" w:color="auto" w:fill="FFFFFF"/>
          </w:tcPr>
          <w:p w14:paraId="598B14F9" w14:textId="77777777" w:rsidR="002F65D1" w:rsidRPr="003847FF" w:rsidRDefault="00FC159E" w:rsidP="003345B3">
            <w:pPr>
              <w:tabs>
                <w:tab w:val="left" w:pos="9243"/>
              </w:tabs>
              <w:spacing w:before="120" w:after="120"/>
              <w:rPr>
                <w:b/>
              </w:rPr>
            </w:pPr>
            <w:r w:rsidRPr="003847FF">
              <w:rPr>
                <w:b/>
              </w:rPr>
              <w:t>Training for personnel responding to reports and complaints</w:t>
            </w:r>
          </w:p>
          <w:p w14:paraId="47B06A1A" w14:textId="77777777" w:rsidR="002F65D1" w:rsidRDefault="00FC159E" w:rsidP="003345B3">
            <w:pPr>
              <w:tabs>
                <w:tab w:val="left" w:pos="9243"/>
              </w:tabs>
              <w:spacing w:before="120" w:after="120"/>
            </w:pPr>
            <w:r>
              <w:t>A service provider must ensure that personnel responding to reports referred to in compliance measure 10.4 or complaints referred to in compliance measure 10.8 are trained in the social media service’s policies and procedures for dealing with such reports and complaints.</w:t>
            </w:r>
          </w:p>
          <w:p w14:paraId="55E33286" w14:textId="77777777" w:rsidR="002F65D1" w:rsidRDefault="00FC159E" w:rsidP="003345B3">
            <w:pPr>
              <w:pBdr>
                <w:top w:val="nil"/>
                <w:left w:val="nil"/>
                <w:bottom w:val="nil"/>
                <w:right w:val="nil"/>
                <w:between w:val="nil"/>
              </w:pBdr>
              <w:spacing w:before="120" w:after="120"/>
              <w:rPr>
                <w:sz w:val="16"/>
                <w:szCs w:val="16"/>
              </w:rPr>
            </w:pPr>
            <w:r w:rsidRPr="00B02F7F">
              <w:rPr>
                <w:sz w:val="16"/>
                <w:szCs w:val="16"/>
                <w:u w:val="single"/>
              </w:rPr>
              <w:t>Note</w:t>
            </w:r>
            <w:r w:rsidRPr="00B02F7F">
              <w:rPr>
                <w:sz w:val="16"/>
                <w:szCs w:val="16"/>
              </w:rPr>
              <w:t>: A service provider will need to comply with this measure for the generative AI restricted category of material for which it has a Tier</w:t>
            </w:r>
            <w:r>
              <w:rPr>
                <w:sz w:val="16"/>
                <w:szCs w:val="16"/>
              </w:rPr>
              <w:t> </w:t>
            </w:r>
            <w:r w:rsidRPr="00B02F7F">
              <w:rPr>
                <w:sz w:val="16"/>
                <w:szCs w:val="16"/>
              </w:rPr>
              <w:t>1 risk profile.</w:t>
            </w:r>
          </w:p>
        </w:tc>
      </w:tr>
      <w:tr w:rsidR="00367724" w14:paraId="7A9733A9" w14:textId="77777777" w:rsidTr="002F65D1">
        <w:tc>
          <w:tcPr>
            <w:tcW w:w="701" w:type="pct"/>
            <w:shd w:val="clear" w:color="auto" w:fill="FFFFFF"/>
          </w:tcPr>
          <w:p w14:paraId="52BD37BB" w14:textId="77777777" w:rsidR="002F65D1" w:rsidRDefault="00FC159E" w:rsidP="003345B3">
            <w:pPr>
              <w:spacing w:before="120" w:after="120"/>
              <w:jc w:val="center"/>
            </w:pPr>
            <w:r>
              <w:t>10.1</w:t>
            </w:r>
            <w:r w:rsidR="000154A7">
              <w:t>0</w:t>
            </w:r>
          </w:p>
        </w:tc>
        <w:tc>
          <w:tcPr>
            <w:tcW w:w="773" w:type="pct"/>
            <w:shd w:val="clear" w:color="auto" w:fill="FFFFFF"/>
          </w:tcPr>
          <w:p w14:paraId="400FD215" w14:textId="77777777" w:rsidR="002F65D1" w:rsidRDefault="00FC159E" w:rsidP="003345B3">
            <w:pPr>
              <w:spacing w:before="120" w:after="120"/>
              <w:jc w:val="center"/>
            </w:pPr>
            <w:r>
              <w:t>Tier 1</w:t>
            </w:r>
          </w:p>
        </w:tc>
        <w:tc>
          <w:tcPr>
            <w:tcW w:w="3526" w:type="pct"/>
            <w:shd w:val="clear" w:color="auto" w:fill="FFFFFF"/>
          </w:tcPr>
          <w:p w14:paraId="39FB3E9B" w14:textId="77777777" w:rsidR="002F65D1" w:rsidRPr="003847FF" w:rsidRDefault="00FC159E" w:rsidP="003345B3">
            <w:pPr>
              <w:spacing w:before="120" w:after="120"/>
              <w:rPr>
                <w:b/>
              </w:rPr>
            </w:pPr>
            <w:r w:rsidRPr="003847FF">
              <w:rPr>
                <w:b/>
              </w:rPr>
              <w:t xml:space="preserve">Significant changes to services </w:t>
            </w:r>
          </w:p>
          <w:p w14:paraId="769D8504" w14:textId="77777777" w:rsidR="002F65D1" w:rsidRDefault="00FC159E" w:rsidP="003345B3">
            <w:pPr>
              <w:spacing w:before="120" w:after="120"/>
            </w:pPr>
            <w:r>
              <w:t>A service provider must, before it makes a material change to the AI companion chatbot feature that is likely to significantly increase the risk of enabling an Australian child to generate the generative AI restricted category of material:</w:t>
            </w:r>
          </w:p>
          <w:p w14:paraId="1404D9F3" w14:textId="77777777" w:rsidR="002F65D1" w:rsidRPr="00B02F7F" w:rsidRDefault="00FC159E" w:rsidP="00B02F7F">
            <w:pPr>
              <w:numPr>
                <w:ilvl w:val="0"/>
                <w:numId w:val="47"/>
              </w:numPr>
              <w:pBdr>
                <w:top w:val="nil"/>
                <w:left w:val="nil"/>
                <w:bottom w:val="nil"/>
                <w:right w:val="nil"/>
                <w:between w:val="nil"/>
              </w:pBdr>
              <w:spacing w:before="120" w:after="120"/>
            </w:pPr>
            <w:r>
              <w:t>carry out an assessment of the kinds of features and settings that could reasonably be incorporated into the feature to minimise that risk; and</w:t>
            </w:r>
          </w:p>
          <w:p w14:paraId="1929FD8C" w14:textId="77777777" w:rsidR="002F65D1" w:rsidRDefault="00FC159E" w:rsidP="00B02F7F">
            <w:pPr>
              <w:numPr>
                <w:ilvl w:val="0"/>
                <w:numId w:val="47"/>
              </w:numPr>
              <w:spacing w:before="120" w:after="120"/>
            </w:pPr>
            <w:r>
              <w:t>where appropriate, apply features and settings so identified to help to mitigate that risk.</w:t>
            </w:r>
          </w:p>
          <w:p w14:paraId="7AF09529" w14:textId="77777777" w:rsidR="002F65D1" w:rsidRPr="00B02F7F" w:rsidRDefault="00FC159E" w:rsidP="003345B3">
            <w:pPr>
              <w:spacing w:before="120" w:after="120"/>
              <w:rPr>
                <w:sz w:val="18"/>
                <w:szCs w:val="18"/>
              </w:rPr>
            </w:pPr>
            <w:r w:rsidRPr="00B02F7F">
              <w:rPr>
                <w:sz w:val="16"/>
                <w:szCs w:val="16"/>
                <w:u w:val="single"/>
              </w:rPr>
              <w:t>Note</w:t>
            </w:r>
            <w:r w:rsidRPr="00B02F7F">
              <w:rPr>
                <w:sz w:val="16"/>
                <w:szCs w:val="16"/>
              </w:rPr>
              <w:t>: A service provider will need to comply with this measure for the generative AI restricted category of material for which it has a Tier</w:t>
            </w:r>
            <w:r w:rsidR="00B02F7F">
              <w:rPr>
                <w:sz w:val="16"/>
                <w:szCs w:val="16"/>
              </w:rPr>
              <w:t> </w:t>
            </w:r>
            <w:r w:rsidRPr="00B02F7F">
              <w:rPr>
                <w:sz w:val="16"/>
                <w:szCs w:val="16"/>
              </w:rPr>
              <w:t>1 risk profile.</w:t>
            </w:r>
          </w:p>
        </w:tc>
      </w:tr>
    </w:tbl>
    <w:p w14:paraId="15A5DEA5" w14:textId="77777777" w:rsidR="00656ECF" w:rsidRPr="00B74D54" w:rsidRDefault="00656ECF" w:rsidP="00B13775">
      <w:pPr>
        <w:pStyle w:val="Indent2"/>
        <w:ind w:left="0"/>
      </w:pPr>
    </w:p>
    <w:sectPr w:rsidR="00656ECF" w:rsidRPr="00B74D54" w:rsidSect="00435FC7">
      <w:pgSz w:w="16838" w:h="11906" w:orient="landscape" w:code="9"/>
      <w:pgMar w:top="1080" w:right="1440" w:bottom="1080" w:left="1440" w:header="425"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EA42" w14:textId="77777777" w:rsidR="00FC159E" w:rsidRDefault="00FC159E">
      <w:r>
        <w:separator/>
      </w:r>
    </w:p>
  </w:endnote>
  <w:endnote w:type="continuationSeparator" w:id="0">
    <w:p w14:paraId="383D7D2D" w14:textId="77777777" w:rsidR="00FC159E" w:rsidRDefault="00FC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eo">
    <w:charset w:val="00"/>
    <w:family w:val="auto"/>
    <w:pitch w:val="variable"/>
    <w:sig w:usb0="00000007" w:usb1="00000000" w:usb2="00000000" w:usb3="00000000" w:csb0="00000083"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Raleway">
    <w:charset w:val="00"/>
    <w:family w:val="auto"/>
    <w:pitch w:val="variable"/>
    <w:sig w:usb0="A00002FF" w:usb1="5000205B" w:usb2="00000000" w:usb3="00000000" w:csb0="00000197" w:csb1="00000000"/>
  </w:font>
  <w:font w:name="Zilla Slab Light">
    <w:altName w:val="Calibri"/>
    <w:panose1 w:val="00000000000000000000"/>
    <w:charset w:val="00"/>
    <w:family w:val="modern"/>
    <w:notTrueType/>
    <w:pitch w:val="variable"/>
    <w:sig w:usb0="A00000FF" w:usb1="5001E47B"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F02E" w14:textId="77777777" w:rsidR="00215844" w:rsidRDefault="00215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81D7" w14:textId="77777777" w:rsidR="005D2E14" w:rsidRDefault="00FC159E">
    <w:r w:rsidRPr="0061425D">
      <w:rPr>
        <w:b/>
        <w:bCs/>
        <w:sz w:val="16"/>
        <w:szCs w:val="16"/>
        <w:lang w:val="en-US"/>
      </w:rPr>
      <w:t>69226208_7</w:t>
    </w:r>
    <w:r w:rsidR="009E547A">
      <w:rPr>
        <w:szCs w:val="16"/>
      </w:rPr>
      <w:t>14 August 2024</w:t>
    </w:r>
  </w:p>
  <w:p w14:paraId="3D77DD90" w14:textId="77777777" w:rsidR="005D2E14" w:rsidRDefault="005D2E14">
    <w:pPr>
      <w:pBdr>
        <w:top w:val="nil"/>
        <w:left w:val="nil"/>
        <w:bottom w:val="nil"/>
        <w:right w:val="nil"/>
        <w:between w:val="nil"/>
      </w:pBdr>
      <w:tabs>
        <w:tab w:val="center" w:pos="4513"/>
        <w:tab w:val="right" w:pos="9026"/>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40C1" w14:textId="77777777" w:rsidR="005D2E14" w:rsidRDefault="00FC159E">
    <w:r w:rsidRPr="0061425D">
      <w:rPr>
        <w:b/>
        <w:bCs/>
        <w:sz w:val="16"/>
        <w:szCs w:val="16"/>
        <w:lang w:val="en-US"/>
      </w:rPr>
      <w:t>69226208_7</w:t>
    </w:r>
    <w:r w:rsidR="009E547A">
      <w:rPr>
        <w:szCs w:val="16"/>
      </w:rPr>
      <w:t>14 August 2024</w:t>
    </w:r>
  </w:p>
  <w:p w14:paraId="0F99DA0C" w14:textId="77777777" w:rsidR="005D2E14" w:rsidRDefault="00FC159E">
    <w:pPr>
      <w:pBdr>
        <w:top w:val="nil"/>
        <w:left w:val="nil"/>
        <w:bottom w:val="nil"/>
        <w:right w:val="nil"/>
        <w:between w:val="nil"/>
      </w:pBdr>
      <w:jc w:val="right"/>
      <w:rPr>
        <w:color w:val="000000"/>
        <w:sz w:val="16"/>
        <w:szCs w:val="16"/>
      </w:rPr>
    </w:pPr>
    <w:r>
      <w:rPr>
        <w:sz w:val="16"/>
        <w:szCs w:val="16"/>
      </w:rPr>
      <w:fldChar w:fldCharType="begin"/>
    </w:r>
    <w:r>
      <w:rPr>
        <w:sz w:val="16"/>
        <w:szCs w:val="16"/>
      </w:rPr>
      <w:instrText>PAGE</w:instrText>
    </w:r>
    <w:r>
      <w:rPr>
        <w:sz w:val="16"/>
        <w:szCs w:val="16"/>
      </w:rPr>
      <w:fldChar w:fldCharType="separate"/>
    </w:r>
    <w:r>
      <w:rPr>
        <w:sz w:val="16"/>
        <w:szCs w:val="16"/>
      </w:rPr>
      <w:t>1</w:t>
    </w:r>
    <w:r>
      <w:rPr>
        <w:sz w:val="16"/>
        <w:szCs w:val="16"/>
      </w:rPr>
      <w:fldChar w:fldCharType="end"/>
    </w:r>
  </w:p>
  <w:p w14:paraId="1C4EBF1A" w14:textId="77777777" w:rsidR="005D2E14" w:rsidRDefault="005D2E1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80B9" w14:textId="77777777" w:rsidR="005D2E14" w:rsidRDefault="00FC159E">
    <w:pPr>
      <w:pStyle w:val="Footer"/>
      <w:pBdr>
        <w:top w:val="single" w:sz="4" w:space="1" w:color="808080" w:themeColor="background1" w:themeShade="80"/>
      </w:pBdr>
      <w:jc w:val="center"/>
      <w:rPr>
        <w:szCs w:val="16"/>
      </w:rPr>
    </w:pPr>
    <w:r>
      <w:rPr>
        <w:color w:val="808080" w:themeColor="background1" w:themeShade="80"/>
        <w:szCs w:val="16"/>
      </w:rPr>
      <w:t xml:space="preserve">Page </w:t>
    </w:r>
    <w:r>
      <w:rPr>
        <w:color w:val="808080" w:themeColor="background1" w:themeShade="80"/>
        <w:szCs w:val="16"/>
      </w:rPr>
      <w:fldChar w:fldCharType="begin"/>
    </w:r>
    <w:r>
      <w:rPr>
        <w:color w:val="808080" w:themeColor="background1" w:themeShade="80"/>
        <w:szCs w:val="16"/>
      </w:rPr>
      <w:instrText xml:space="preserve"> PAGE </w:instrText>
    </w:r>
    <w:r>
      <w:rPr>
        <w:color w:val="808080" w:themeColor="background1" w:themeShade="80"/>
        <w:szCs w:val="16"/>
      </w:rPr>
      <w:fldChar w:fldCharType="separate"/>
    </w:r>
    <w:r>
      <w:rPr>
        <w:color w:val="808080" w:themeColor="background1" w:themeShade="80"/>
        <w:szCs w:val="16"/>
      </w:rPr>
      <w:t>9</w:t>
    </w:r>
    <w:r>
      <w:rPr>
        <w:color w:val="808080" w:themeColor="background1" w:themeShade="80"/>
        <w:szCs w:val="16"/>
      </w:rPr>
      <w:fldChar w:fldCharType="end"/>
    </w:r>
    <w:r>
      <w:rPr>
        <w:color w:val="808080" w:themeColor="background1" w:themeShade="80"/>
        <w:szCs w:val="16"/>
      </w:rPr>
      <w:t xml:space="preserve"> of </w:t>
    </w:r>
    <w:r>
      <w:rPr>
        <w:color w:val="808080" w:themeColor="background1" w:themeShade="80"/>
        <w:szCs w:val="16"/>
      </w:rPr>
      <w:fldChar w:fldCharType="begin"/>
    </w:r>
    <w:r>
      <w:rPr>
        <w:color w:val="808080" w:themeColor="background1" w:themeShade="80"/>
        <w:szCs w:val="16"/>
      </w:rPr>
      <w:instrText xml:space="preserve"> NUMPAGES  </w:instrText>
    </w:r>
    <w:r>
      <w:rPr>
        <w:color w:val="808080" w:themeColor="background1" w:themeShade="80"/>
        <w:szCs w:val="16"/>
      </w:rPr>
      <w:fldChar w:fldCharType="separate"/>
    </w:r>
    <w:r>
      <w:rPr>
        <w:color w:val="808080" w:themeColor="background1" w:themeShade="80"/>
        <w:szCs w:val="16"/>
      </w:rPr>
      <w:t>23</w:t>
    </w:r>
    <w:r>
      <w:rPr>
        <w:color w:val="808080" w:themeColor="background1" w:themeShade="8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0E3A" w14:textId="77777777" w:rsidR="005D2E14" w:rsidRDefault="00FC159E">
    <w:pPr>
      <w:pStyle w:val="Footer"/>
      <w:pBdr>
        <w:top w:val="single" w:sz="4" w:space="1" w:color="808080" w:themeColor="background1" w:themeShade="80"/>
      </w:pBdr>
      <w:jc w:val="center"/>
      <w:rPr>
        <w:szCs w:val="16"/>
      </w:rPr>
    </w:pPr>
    <w:r>
      <w:rPr>
        <w:color w:val="808080" w:themeColor="background1" w:themeShade="80"/>
        <w:szCs w:val="16"/>
      </w:rPr>
      <w:t xml:space="preserve">Page </w:t>
    </w:r>
    <w:r>
      <w:rPr>
        <w:color w:val="808080" w:themeColor="background1" w:themeShade="80"/>
        <w:szCs w:val="16"/>
      </w:rPr>
      <w:fldChar w:fldCharType="begin"/>
    </w:r>
    <w:r>
      <w:rPr>
        <w:color w:val="808080" w:themeColor="background1" w:themeShade="80"/>
        <w:szCs w:val="16"/>
      </w:rPr>
      <w:instrText xml:space="preserve"> PAGE </w:instrText>
    </w:r>
    <w:r>
      <w:rPr>
        <w:color w:val="808080" w:themeColor="background1" w:themeShade="80"/>
        <w:szCs w:val="16"/>
      </w:rPr>
      <w:fldChar w:fldCharType="separate"/>
    </w:r>
    <w:r>
      <w:rPr>
        <w:color w:val="808080" w:themeColor="background1" w:themeShade="80"/>
        <w:szCs w:val="16"/>
      </w:rPr>
      <w:t>23</w:t>
    </w:r>
    <w:r>
      <w:rPr>
        <w:color w:val="808080" w:themeColor="background1" w:themeShade="80"/>
        <w:szCs w:val="16"/>
      </w:rPr>
      <w:fldChar w:fldCharType="end"/>
    </w:r>
    <w:r>
      <w:rPr>
        <w:color w:val="808080" w:themeColor="background1" w:themeShade="80"/>
        <w:szCs w:val="16"/>
      </w:rPr>
      <w:t xml:space="preserve"> of </w:t>
    </w:r>
    <w:r>
      <w:rPr>
        <w:color w:val="808080" w:themeColor="background1" w:themeShade="80"/>
        <w:szCs w:val="16"/>
      </w:rPr>
      <w:fldChar w:fldCharType="begin"/>
    </w:r>
    <w:r>
      <w:rPr>
        <w:color w:val="808080" w:themeColor="background1" w:themeShade="80"/>
        <w:szCs w:val="16"/>
      </w:rPr>
      <w:instrText xml:space="preserve"> NUMPAGES  </w:instrText>
    </w:r>
    <w:r>
      <w:rPr>
        <w:color w:val="808080" w:themeColor="background1" w:themeShade="80"/>
        <w:szCs w:val="16"/>
      </w:rPr>
      <w:fldChar w:fldCharType="separate"/>
    </w:r>
    <w:r>
      <w:rPr>
        <w:color w:val="808080" w:themeColor="background1" w:themeShade="80"/>
        <w:szCs w:val="16"/>
      </w:rPr>
      <w:t>23</w:t>
    </w:r>
    <w:r>
      <w:rPr>
        <w:color w:val="808080" w:themeColor="background1" w:themeShade="8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8CF5" w14:textId="77777777" w:rsidR="00FC159E" w:rsidRDefault="00FC159E">
      <w:r>
        <w:separator/>
      </w:r>
    </w:p>
  </w:footnote>
  <w:footnote w:type="continuationSeparator" w:id="0">
    <w:p w14:paraId="4AF1F101" w14:textId="77777777" w:rsidR="00FC159E" w:rsidRDefault="00FC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0D1E" w14:textId="77777777" w:rsidR="00215844" w:rsidRDefault="00215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FA" w14:textId="77777777" w:rsidR="005D2E14" w:rsidRDefault="00FC159E">
    <w:pPr>
      <w:pStyle w:val="14Lead11"/>
      <w:spacing w:line="276" w:lineRule="auto"/>
      <w:rPr>
        <w:rFonts w:ascii="Arial" w:hAnsi="Arial" w:cs="Arial"/>
        <w:color w:val="auto"/>
        <w:spacing w:val="0"/>
        <w:sz w:val="16"/>
        <w:szCs w:val="16"/>
        <w14:numForm w14:val="lining"/>
        <w14:numSpacing w14:val="proportional"/>
      </w:rPr>
    </w:pPr>
    <w:r>
      <w:rPr>
        <w:rFonts w:ascii="Arial" w:hAnsi="Arial" w:cs="Arial"/>
        <w:color w:val="auto"/>
        <w:spacing w:val="0"/>
        <w:sz w:val="16"/>
        <w:szCs w:val="16"/>
        <w14:numForm w14:val="lining"/>
        <w14:numSpacing w14:val="proportional"/>
      </w:rPr>
      <w:t>Schedule 1 – Social Media Services Online Safety Code (Class 1A and Class 1B Material)</w:t>
    </w:r>
  </w:p>
  <w:p w14:paraId="67A2D279" w14:textId="77777777" w:rsidR="005D2E14" w:rsidRDefault="00FC159E">
    <w:pPr>
      <w:pBdr>
        <w:top w:val="nil"/>
        <w:left w:val="nil"/>
        <w:bottom w:val="nil"/>
        <w:right w:val="nil"/>
        <w:between w:val="nil"/>
      </w:pBdr>
      <w:tabs>
        <w:tab w:val="center" w:pos="4513"/>
        <w:tab w:val="right" w:pos="9026"/>
      </w:tabs>
      <w:rPr>
        <w:color w:val="000000"/>
        <w:sz w:val="16"/>
        <w:szCs w:val="16"/>
        <w:lang w:val="en-US"/>
      </w:rPr>
    </w:pPr>
    <w:r>
      <w:rPr>
        <w:color w:val="000000"/>
        <w:sz w:val="16"/>
        <w:szCs w:val="16"/>
        <w:lang w:val="en-US"/>
      </w:rPr>
      <w:t>Public Comment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DC40" w14:textId="77777777" w:rsidR="005D2E14" w:rsidRDefault="00FC159E">
    <w:pPr>
      <w:pBdr>
        <w:top w:val="nil"/>
        <w:left w:val="nil"/>
        <w:bottom w:val="nil"/>
        <w:right w:val="nil"/>
        <w:between w:val="nil"/>
      </w:pBdr>
      <w:rPr>
        <w:color w:val="7F7F7F"/>
        <w:sz w:val="36"/>
        <w:szCs w:val="36"/>
      </w:rPr>
    </w:pPr>
    <w:r>
      <w:rPr>
        <w:color w:val="7F7F7F"/>
        <w:sz w:val="36"/>
        <w:szCs w:val="36"/>
      </w:rPr>
      <w:t>DRAFT IN CONFIDENCE</w:t>
    </w:r>
  </w:p>
  <w:p w14:paraId="087F474A" w14:textId="77777777" w:rsidR="005D2E14" w:rsidRDefault="00FC159E">
    <w:pPr>
      <w:pBdr>
        <w:top w:val="nil"/>
        <w:left w:val="nil"/>
        <w:bottom w:val="nil"/>
        <w:right w:val="nil"/>
        <w:between w:val="nil"/>
      </w:pBdr>
      <w:rPr>
        <w:b/>
        <w:color w:val="7F7F7F"/>
        <w:sz w:val="36"/>
        <w:szCs w:val="36"/>
      </w:rPr>
    </w:pPr>
    <w:r>
      <w:rPr>
        <w:b/>
        <w:noProof/>
        <w:color w:val="000000"/>
        <w:sz w:val="36"/>
        <w:szCs w:val="36"/>
      </w:rPr>
      <mc:AlternateContent>
        <mc:Choice Requires="wps">
          <w:drawing>
            <wp:anchor distT="0" distB="0" distL="0" distR="0" simplePos="0" relativeHeight="251658240" behindDoc="1" locked="0" layoutInCell="1" allowOverlap="1" wp14:anchorId="22ED8270" wp14:editId="0CB1D650">
              <wp:simplePos x="0" y="0"/>
              <wp:positionH relativeFrom="margin">
                <wp:align>center</wp:align>
              </wp:positionH>
              <wp:positionV relativeFrom="margin">
                <wp:align>center</wp:align>
              </wp:positionV>
              <wp:extent cx="33747710" cy="33747710"/>
              <wp:effectExtent l="6896100" t="6896100" r="6866890" b="6904990"/>
              <wp:wrapNone/>
              <wp:docPr id="1759202415" name="Rectangle 1"/>
              <wp:cNvGraphicFramePr/>
              <a:graphic xmlns:a="http://schemas.openxmlformats.org/drawingml/2006/main">
                <a:graphicData uri="http://schemas.microsoft.com/office/word/2010/wordprocessingShape">
                  <wps:wsp>
                    <wps:cNvSpPr/>
                    <wps:spPr>
                      <a:xfrm rot="18900000">
                        <a:off x="0" y="0"/>
                        <a:ext cx="33747710" cy="33747710"/>
                      </a:xfrm>
                      <a:prstGeom prst="rect">
                        <a:avLst/>
                      </a:prstGeom>
                      <a:noFill/>
                      <a:ln>
                        <a:noFill/>
                      </a:ln>
                    </wps:spPr>
                    <wps:txbx>
                      <w:txbxContent>
                        <w:p w14:paraId="2AC7F49C" w14:textId="77777777" w:rsidR="005D2E14" w:rsidRDefault="00FC159E">
                          <w:pPr>
                            <w:jc w:val="center"/>
                          </w:pPr>
                          <w:r>
                            <w:rPr>
                              <w:rFonts w:ascii="Calibri" w:eastAsia="Calibri" w:hAnsi="Calibri" w:cs="Calibri"/>
                              <w:color w:val="C0C0C0"/>
                              <w:sz w:val="144"/>
                            </w:rPr>
                            <w:t>DRAFT</w:t>
                          </w: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2ED8270" id="Rectangle 1" o:spid="_x0000_s1027" style="position:absolute;margin-left:0;margin-top:0;width:2657.3pt;height:2657.3pt;rotation:-45;z-index:-251658240;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56pgEAAEgDAAAOAAAAZHJzL2Uyb0RvYy54bWysU01v2zAMvQ/YfxB0X2yn7dIacXpYkWFA&#10;sQVo9wMUWYoF6GukGjv/vpSSptl2G+YDoUcRT3yP9PJ+cpbtFaAJvuPNrOZMeRl643cd//m8/nTL&#10;GSbhe2GDVx0/KOT3q48flmNs1TwMwfYKGJF4bMfY8SGl2FYVykE5gbMQladLHcCJRBB2VQ9iJHZn&#10;q3ldf67GAH2EIBUiZR+Ol3xV+LVWMv3QGlVituPUWyoRStzmWK2Wot2BiIORpzbEP3ThhPH06Jnq&#10;QSTBXsD8ReWMhIBBp5kMrgpaG6mKBlLT1H+oeRpEVEULmYPxbBP+P1r5ff8UN0A2jBFbpGNWMWlw&#10;DAK51dze1fkr4qhdNhXvDmfv1JSYpOTV1eJ6sWjIY0mXZ0TE1ZEv80bA9FUFx/Kh40DjKcRi/4jp&#10;WPpWkst9WBtry4is/y1BnDlTvTedT2naTicl29AfNsAwyrWhtx4Fpo0AGm3D2Ujj7jj+ehGgOLPf&#10;PPl511zPb2g/LgFcgu0lEF4OgbZIJuDsCL6kslVZRG6FxlWUn1Yr78MlLlXvP8DqFQAA//8DAFBL&#10;AwQUAAYACAAAACEAARh1LtkAAAAHAQAADwAAAGRycy9kb3ducmV2LnhtbEyPT0/DMAzF70h8h8hI&#10;3Jg7BhOUphP/j6AOEFevMW1F4lRN1hU+PQEJwcV61rPe+7lYTc6qkYfQedEwn2WgWGpvOmk0PD/d&#10;HZ2BCpHEkPXCGj44wKrc3ysoN34nFY/r2KgUIiEnDW2MfY4Y6pYdhZnvWZL35gdHMa1Dg2agXQp3&#10;Fo+zbImOOkkNLfV83XL9vt46DWNPdPP5em9fbqsKH8wCz68eUevDg+nyAlTkKf4dwzd+QocyMW38&#10;VkxQVkN6JP7M5J0u5idLUJtfhWWB//nLLwAAAP//AwBQSwECLQAUAAYACAAAACEAtoM4kv4AAADh&#10;AQAAEwAAAAAAAAAAAAAAAAAAAAAAW0NvbnRlbnRfVHlwZXNdLnhtbFBLAQItABQABgAIAAAAIQA4&#10;/SH/1gAAAJQBAAALAAAAAAAAAAAAAAAAAC8BAABfcmVscy8ucmVsc1BLAQItABQABgAIAAAAIQCU&#10;tc56pgEAAEgDAAAOAAAAAAAAAAAAAAAAAC4CAABkcnMvZTJvRG9jLnhtbFBLAQItABQABgAIAAAA&#10;IQABGHUu2QAAAAcBAAAPAAAAAAAAAAAAAAAAAAAEAABkcnMvZG93bnJldi54bWxQSwUGAAAAAAQA&#10;BADzAAAABgUAAAAA&#10;" filled="f" stroked="f">
              <v:textbox inset="2.53958mm,2.53958mm,2.53958mm,2.53958mm">
                <w:txbxContent>
                  <w:p w14:paraId="2AC7F49C" w14:textId="77777777" w:rsidR="005D2E14" w:rsidRDefault="00FC159E">
                    <w:pPr>
                      <w:jc w:val="center"/>
                    </w:pPr>
                    <w:r>
                      <w:rPr>
                        <w:rFonts w:ascii="Calibri" w:eastAsia="Calibri" w:hAnsi="Calibri" w:cs="Calibri"/>
                        <w:color w:val="C0C0C0"/>
                        <w:sz w:val="144"/>
                      </w:rPr>
                      <w:t>DRAFT</w:t>
                    </w:r>
                  </w:p>
                </w:txbxContent>
              </v:textbox>
              <w10:wrap anchorx="margin"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628B" w14:textId="77777777" w:rsidR="005D2E14" w:rsidRDefault="005D2E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217B" w14:textId="77777777" w:rsidR="005D2E14" w:rsidRDefault="005D2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F837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30A4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AEBD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F8C6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22B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A8B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BEA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8E6AF2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b w:val="0"/>
        <w:bCs w:val="0"/>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Arial" w:hAnsi="Arial" w:cs="Arial" w:hint="default"/>
      </w:rPr>
    </w:lvl>
    <w:lvl w:ilvl="8">
      <w:start w:val="1"/>
      <w:numFmt w:val="lowerRoman"/>
      <w:pStyle w:val="Heading9"/>
      <w:lvlText w:val="(%9)"/>
      <w:lvlJc w:val="left"/>
      <w:pPr>
        <w:tabs>
          <w:tab w:val="num" w:pos="2211"/>
        </w:tabs>
        <w:ind w:left="2211" w:hanging="737"/>
      </w:pPr>
      <w:rPr>
        <w:rFonts w:ascii="Arial" w:hAnsi="Arial" w:cs="Arial" w:hint="default"/>
      </w:rPr>
    </w:lvl>
  </w:abstractNum>
  <w:abstractNum w:abstractNumId="11" w15:restartNumberingAfterBreak="0">
    <w:nsid w:val="03811807"/>
    <w:multiLevelType w:val="multilevel"/>
    <w:tmpl w:val="D4AE90BC"/>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0481081F"/>
    <w:multiLevelType w:val="multilevel"/>
    <w:tmpl w:val="A3D6EEE0"/>
    <w:lvl w:ilvl="0">
      <w:start w:val="1"/>
      <w:numFmt w:val="lowerLetter"/>
      <w:lvlText w:val="(%1)"/>
      <w:lvlJc w:val="left"/>
      <w:pPr>
        <w:ind w:left="737" w:hanging="737"/>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05E555A1"/>
    <w:multiLevelType w:val="multilevel"/>
    <w:tmpl w:val="A3D6EEE0"/>
    <w:lvl w:ilvl="0">
      <w:start w:val="1"/>
      <w:numFmt w:val="lowerLetter"/>
      <w:lvlText w:val="(%1)"/>
      <w:lvlJc w:val="left"/>
      <w:pPr>
        <w:ind w:left="737" w:hanging="737"/>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0C943F72"/>
    <w:multiLevelType w:val="multilevel"/>
    <w:tmpl w:val="98268F96"/>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8532DC"/>
    <w:multiLevelType w:val="multilevel"/>
    <w:tmpl w:val="A80E91A0"/>
    <w:lvl w:ilvl="0">
      <w:start w:val="1"/>
      <w:numFmt w:val="lowerLetter"/>
      <w:lvlText w:val="(%1)"/>
      <w:lvlJc w:val="left"/>
      <w:pPr>
        <w:ind w:left="737" w:hanging="737"/>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160316F2"/>
    <w:multiLevelType w:val="multilevel"/>
    <w:tmpl w:val="084EE15C"/>
    <w:lvl w:ilvl="0">
      <w:start w:val="1"/>
      <w:numFmt w:val="lowerLetter"/>
      <w:lvlText w:val="(%1)"/>
      <w:lvlJc w:val="left"/>
      <w:pPr>
        <w:ind w:left="737" w:hanging="737"/>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182736ED"/>
    <w:multiLevelType w:val="multilevel"/>
    <w:tmpl w:val="9EBE870A"/>
    <w:lvl w:ilvl="0">
      <w:start w:val="1"/>
      <w:numFmt w:val="decimal"/>
      <w:lvlText w:val="%1"/>
      <w:lvlJc w:val="left"/>
      <w:pPr>
        <w:ind w:left="737" w:hanging="737"/>
      </w:pPr>
      <w:rPr>
        <w:b/>
        <w:sz w:val="28"/>
        <w:szCs w:val="28"/>
      </w:rPr>
    </w:lvl>
    <w:lvl w:ilvl="1">
      <w:start w:val="1"/>
      <w:numFmt w:val="decimal"/>
      <w:lvlText w:val="%1.%2"/>
      <w:lvlJc w:val="left"/>
      <w:pPr>
        <w:ind w:left="1187" w:hanging="737"/>
      </w:pPr>
      <w:rPr>
        <w:rFonts w:ascii="Arial" w:eastAsia="Arial" w:hAnsi="Arial" w:cs="Arial"/>
        <w:b/>
        <w:sz w:val="20"/>
        <w:szCs w:val="20"/>
      </w:rPr>
    </w:lvl>
    <w:lvl w:ilvl="2">
      <w:start w:val="1"/>
      <w:numFmt w:val="lowerLetter"/>
      <w:lvlText w:val="(%3)"/>
      <w:lvlJc w:val="left"/>
      <w:pPr>
        <w:ind w:left="737" w:hanging="737"/>
      </w:pPr>
      <w:rPr>
        <w:b w:val="0"/>
      </w:rPr>
    </w:lvl>
    <w:lvl w:ilvl="3">
      <w:start w:val="1"/>
      <w:numFmt w:val="lowerRoman"/>
      <w:lvlText w:val="(%4)"/>
      <w:lvlJc w:val="left"/>
      <w:pPr>
        <w:ind w:left="2211" w:hanging="737"/>
      </w:pPr>
      <w:rPr>
        <w:rFonts w:ascii="Arial" w:eastAsia="Arial" w:hAnsi="Arial" w:cs="Arial"/>
        <w:b w:val="0"/>
      </w:rPr>
    </w:lvl>
    <w:lvl w:ilvl="4">
      <w:start w:val="1"/>
      <w:numFmt w:val="upperLetter"/>
      <w:lvlText w:val="(%5)"/>
      <w:lvlJc w:val="left"/>
      <w:pPr>
        <w:ind w:left="2948" w:hanging="737"/>
      </w:pPr>
      <w:rPr>
        <w:b w:val="0"/>
      </w:rPr>
    </w:lvl>
    <w:lvl w:ilvl="5">
      <w:start w:val="1"/>
      <w:numFmt w:val="lowerLetter"/>
      <w:lvlText w:val="(a%6)"/>
      <w:lvlJc w:val="left"/>
      <w:pPr>
        <w:ind w:left="3685" w:hanging="737"/>
      </w:pPr>
    </w:lvl>
    <w:lvl w:ilvl="6">
      <w:start w:val="1"/>
      <w:numFmt w:val="decimal"/>
      <w:lvlText w:val=""/>
      <w:lvlJc w:val="left"/>
      <w:pPr>
        <w:ind w:left="737" w:firstLine="0"/>
      </w:pPr>
    </w:lvl>
    <w:lvl w:ilvl="7">
      <w:start w:val="1"/>
      <w:numFmt w:val="lowerLetter"/>
      <w:lvlText w:val="(%8)"/>
      <w:lvlJc w:val="left"/>
      <w:pPr>
        <w:ind w:left="1474" w:hanging="737"/>
      </w:pPr>
      <w:rPr>
        <w:rFonts w:ascii="Arial" w:eastAsia="Arial" w:hAnsi="Arial" w:cs="Arial"/>
      </w:rPr>
    </w:lvl>
    <w:lvl w:ilvl="8">
      <w:start w:val="1"/>
      <w:numFmt w:val="lowerRoman"/>
      <w:lvlText w:val="(%9)"/>
      <w:lvlJc w:val="left"/>
      <w:pPr>
        <w:ind w:left="2211" w:hanging="737"/>
      </w:pPr>
      <w:rPr>
        <w:rFonts w:ascii="Arial" w:eastAsia="Arial" w:hAnsi="Arial" w:cs="Arial"/>
      </w:rPr>
    </w:lvl>
  </w:abstractNum>
  <w:abstractNum w:abstractNumId="19" w15:restartNumberingAfterBreak="0">
    <w:nsid w:val="1C046C21"/>
    <w:multiLevelType w:val="multilevel"/>
    <w:tmpl w:val="182225D4"/>
    <w:styleLink w:val="ScheduleListNumbers"/>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decimal"/>
      <w:lvlText w:val="%2.%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C5E6EFA"/>
    <w:multiLevelType w:val="multilevel"/>
    <w:tmpl w:val="6030A21A"/>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1DCA129F"/>
    <w:multiLevelType w:val="multilevel"/>
    <w:tmpl w:val="A3D6EEE0"/>
    <w:lvl w:ilvl="0">
      <w:start w:val="1"/>
      <w:numFmt w:val="lowerLetter"/>
      <w:lvlText w:val="(%1)"/>
      <w:lvlJc w:val="left"/>
      <w:pPr>
        <w:ind w:left="737" w:hanging="737"/>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1EB23A3A"/>
    <w:multiLevelType w:val="multilevel"/>
    <w:tmpl w:val="0024D298"/>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2DEB459A"/>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7123D4"/>
    <w:multiLevelType w:val="multilevel"/>
    <w:tmpl w:val="67FEF2E8"/>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3D983C58"/>
    <w:multiLevelType w:val="multilevel"/>
    <w:tmpl w:val="6030A21A"/>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41AB7E1D"/>
    <w:multiLevelType w:val="multilevel"/>
    <w:tmpl w:val="C512FA5C"/>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44E372C4"/>
    <w:multiLevelType w:val="multilevel"/>
    <w:tmpl w:val="2B12D340"/>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1162"/>
        </w:tabs>
        <w:ind w:left="1162"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F85228"/>
    <w:multiLevelType w:val="multilevel"/>
    <w:tmpl w:val="31142CD2"/>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48162A59"/>
    <w:multiLevelType w:val="multilevel"/>
    <w:tmpl w:val="084EE15C"/>
    <w:lvl w:ilvl="0">
      <w:start w:val="1"/>
      <w:numFmt w:val="lowerLetter"/>
      <w:lvlText w:val="(%1)"/>
      <w:lvlJc w:val="left"/>
      <w:pPr>
        <w:ind w:left="737" w:hanging="737"/>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A8E7933"/>
    <w:multiLevelType w:val="singleLevel"/>
    <w:tmpl w:val="EEF2779C"/>
    <w:lvl w:ilvl="0">
      <w:start w:val="1"/>
      <w:numFmt w:val="decimal"/>
      <w:lvlText w:val="7.%1"/>
      <w:lvlJc w:val="left"/>
      <w:pPr>
        <w:tabs>
          <w:tab w:val="num" w:pos="737"/>
        </w:tabs>
        <w:ind w:left="737" w:hanging="737"/>
      </w:pPr>
      <w:rPr>
        <w:rFonts w:hint="default"/>
      </w:rPr>
    </w:lvl>
  </w:abstractNum>
  <w:abstractNum w:abstractNumId="31" w15:restartNumberingAfterBreak="0">
    <w:nsid w:val="4F4543E4"/>
    <w:multiLevelType w:val="multilevel"/>
    <w:tmpl w:val="A3D6EEE0"/>
    <w:lvl w:ilvl="0">
      <w:start w:val="1"/>
      <w:numFmt w:val="lowerLetter"/>
      <w:lvlText w:val="(%1)"/>
      <w:lvlJc w:val="left"/>
      <w:pPr>
        <w:ind w:left="737" w:hanging="737"/>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4F89059D"/>
    <w:multiLevelType w:val="multilevel"/>
    <w:tmpl w:val="EACC3052"/>
    <w:lvl w:ilvl="0">
      <w:start w:val="1"/>
      <w:numFmt w:val="decimal"/>
      <w:lvlText w:val="%1"/>
      <w:lvlJc w:val="left"/>
      <w:pPr>
        <w:ind w:left="737" w:hanging="737"/>
      </w:pPr>
      <w:rPr>
        <w:b/>
        <w:sz w:val="28"/>
        <w:szCs w:val="28"/>
      </w:rPr>
    </w:lvl>
    <w:lvl w:ilvl="1">
      <w:start w:val="1"/>
      <w:numFmt w:val="decimal"/>
      <w:lvlText w:val="%1.%2"/>
      <w:lvlJc w:val="left"/>
      <w:pPr>
        <w:ind w:left="1187" w:hanging="737"/>
      </w:pPr>
      <w:rPr>
        <w:rFonts w:ascii="Arial" w:eastAsia="Arial" w:hAnsi="Arial" w:cs="Arial"/>
        <w:b/>
        <w:sz w:val="20"/>
        <w:szCs w:val="20"/>
      </w:rPr>
    </w:lvl>
    <w:lvl w:ilvl="2">
      <w:start w:val="1"/>
      <w:numFmt w:val="lowerLetter"/>
      <w:lvlText w:val="(%3)"/>
      <w:lvlJc w:val="left"/>
      <w:pPr>
        <w:ind w:left="737" w:hanging="737"/>
      </w:pPr>
      <w:rPr>
        <w:b w:val="0"/>
      </w:rPr>
    </w:lvl>
    <w:lvl w:ilvl="3">
      <w:start w:val="1"/>
      <w:numFmt w:val="lowerRoman"/>
      <w:lvlText w:val="(%4)"/>
      <w:lvlJc w:val="left"/>
      <w:pPr>
        <w:ind w:left="2211" w:hanging="737"/>
      </w:pPr>
      <w:rPr>
        <w:rFonts w:ascii="Arial" w:eastAsia="Arial" w:hAnsi="Arial" w:cs="Arial"/>
        <w:b w:val="0"/>
      </w:rPr>
    </w:lvl>
    <w:lvl w:ilvl="4">
      <w:start w:val="1"/>
      <w:numFmt w:val="upperLetter"/>
      <w:lvlText w:val="(%5)"/>
      <w:lvlJc w:val="left"/>
      <w:pPr>
        <w:ind w:left="2948" w:hanging="737"/>
      </w:pPr>
      <w:rPr>
        <w:b w:val="0"/>
      </w:rPr>
    </w:lvl>
    <w:lvl w:ilvl="5">
      <w:start w:val="1"/>
      <w:numFmt w:val="lowerLetter"/>
      <w:lvlText w:val="(a%6)"/>
      <w:lvlJc w:val="left"/>
      <w:pPr>
        <w:ind w:left="3685" w:hanging="737"/>
      </w:pPr>
    </w:lvl>
    <w:lvl w:ilvl="6">
      <w:start w:val="1"/>
      <w:numFmt w:val="decimal"/>
      <w:lvlText w:val=""/>
      <w:lvlJc w:val="left"/>
      <w:pPr>
        <w:ind w:left="737" w:firstLine="0"/>
      </w:pPr>
    </w:lvl>
    <w:lvl w:ilvl="7">
      <w:start w:val="1"/>
      <w:numFmt w:val="lowerLetter"/>
      <w:lvlText w:val="(%8)"/>
      <w:lvlJc w:val="left"/>
      <w:pPr>
        <w:ind w:left="1474" w:hanging="737"/>
      </w:pPr>
      <w:rPr>
        <w:rFonts w:ascii="Arial" w:eastAsia="Arial" w:hAnsi="Arial" w:cs="Arial"/>
      </w:rPr>
    </w:lvl>
    <w:lvl w:ilvl="8">
      <w:start w:val="1"/>
      <w:numFmt w:val="lowerRoman"/>
      <w:lvlText w:val="(%9)"/>
      <w:lvlJc w:val="left"/>
      <w:pPr>
        <w:ind w:left="2211" w:hanging="737"/>
      </w:pPr>
      <w:rPr>
        <w:rFonts w:ascii="Arial" w:eastAsia="Arial" w:hAnsi="Arial" w:cs="Arial"/>
      </w:rPr>
    </w:lvl>
  </w:abstractNum>
  <w:abstractNum w:abstractNumId="33" w15:restartNumberingAfterBreak="0">
    <w:nsid w:val="53B463ED"/>
    <w:multiLevelType w:val="multilevel"/>
    <w:tmpl w:val="8B2A3AEA"/>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59A97DA4"/>
    <w:multiLevelType w:val="multilevel"/>
    <w:tmpl w:val="A3D6EEE0"/>
    <w:lvl w:ilvl="0">
      <w:start w:val="1"/>
      <w:numFmt w:val="lowerLetter"/>
      <w:lvlText w:val="(%1)"/>
      <w:lvlJc w:val="left"/>
      <w:pPr>
        <w:ind w:left="737" w:hanging="737"/>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61D274D5"/>
    <w:multiLevelType w:val="multilevel"/>
    <w:tmpl w:val="A3D6EEE0"/>
    <w:lvl w:ilvl="0">
      <w:start w:val="1"/>
      <w:numFmt w:val="lowerLetter"/>
      <w:lvlText w:val="(%1)"/>
      <w:lvlJc w:val="left"/>
      <w:pPr>
        <w:ind w:left="737" w:hanging="737"/>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62331C0B"/>
    <w:multiLevelType w:val="multilevel"/>
    <w:tmpl w:val="F288FE60"/>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FAE2A28"/>
    <w:multiLevelType w:val="multilevel"/>
    <w:tmpl w:val="D4AE90BC"/>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4EF336B"/>
    <w:multiLevelType w:val="multilevel"/>
    <w:tmpl w:val="0024D298"/>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785D5AA8"/>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44060190">
    <w:abstractNumId w:val="10"/>
  </w:num>
  <w:num w:numId="2" w16cid:durableId="343673428">
    <w:abstractNumId w:val="41"/>
  </w:num>
  <w:num w:numId="3" w16cid:durableId="1216896764">
    <w:abstractNumId w:val="23"/>
  </w:num>
  <w:num w:numId="4" w16cid:durableId="1258517074">
    <w:abstractNumId w:val="42"/>
  </w:num>
  <w:num w:numId="5" w16cid:durableId="1203593099">
    <w:abstractNumId w:val="9"/>
  </w:num>
  <w:num w:numId="6" w16cid:durableId="588388911">
    <w:abstractNumId w:val="7"/>
  </w:num>
  <w:num w:numId="7" w16cid:durableId="1551115331">
    <w:abstractNumId w:val="6"/>
  </w:num>
  <w:num w:numId="8" w16cid:durableId="1530027605">
    <w:abstractNumId w:val="5"/>
  </w:num>
  <w:num w:numId="9" w16cid:durableId="503252289">
    <w:abstractNumId w:val="4"/>
  </w:num>
  <w:num w:numId="10" w16cid:durableId="372316518">
    <w:abstractNumId w:val="8"/>
  </w:num>
  <w:num w:numId="11" w16cid:durableId="267084762">
    <w:abstractNumId w:val="3"/>
  </w:num>
  <w:num w:numId="12" w16cid:durableId="1011225579">
    <w:abstractNumId w:val="2"/>
  </w:num>
  <w:num w:numId="13" w16cid:durableId="752161273">
    <w:abstractNumId w:val="1"/>
  </w:num>
  <w:num w:numId="14" w16cid:durableId="565917124">
    <w:abstractNumId w:val="0"/>
  </w:num>
  <w:num w:numId="15" w16cid:durableId="320275448">
    <w:abstractNumId w:val="15"/>
  </w:num>
  <w:num w:numId="16" w16cid:durableId="1570574431">
    <w:abstractNumId w:val="15"/>
    <w:lvlOverride w:ilvl="0">
      <w:lvl w:ilvl="0">
        <w:start w:val="1"/>
        <w:numFmt w:val="decimal"/>
        <w:pStyle w:val="Item"/>
        <w:suff w:val="nothing"/>
        <w:lvlText w:val="Item %1"/>
        <w:lvlJc w:val="left"/>
        <w:pPr>
          <w:ind w:left="0" w:firstLine="0"/>
        </w:pPr>
        <w:rPr>
          <w:rFonts w:ascii="Arial" w:hAnsi="Arial" w:hint="default"/>
          <w:b/>
          <w:sz w:val="20"/>
        </w:rPr>
      </w:lvl>
    </w:lvlOverride>
  </w:num>
  <w:num w:numId="17" w16cid:durableId="1370497283">
    <w:abstractNumId w:val="37"/>
  </w:num>
  <w:num w:numId="18" w16cid:durableId="1055273718">
    <w:abstractNumId w:val="19"/>
  </w:num>
  <w:num w:numId="19" w16cid:durableId="964853374">
    <w:abstractNumId w:val="38"/>
  </w:num>
  <w:num w:numId="20" w16cid:durableId="1482501659">
    <w:abstractNumId w:val="27"/>
  </w:num>
  <w:num w:numId="21" w16cid:durableId="1011105147">
    <w:abstractNumId w:val="36"/>
  </w:num>
  <w:num w:numId="22" w16cid:durableId="1674406220">
    <w:abstractNumId w:val="22"/>
  </w:num>
  <w:num w:numId="23" w16cid:durableId="1195921198">
    <w:abstractNumId w:val="26"/>
  </w:num>
  <w:num w:numId="24" w16cid:durableId="2001497670">
    <w:abstractNumId w:val="28"/>
  </w:num>
  <w:num w:numId="25" w16cid:durableId="797069467">
    <w:abstractNumId w:val="16"/>
  </w:num>
  <w:num w:numId="26" w16cid:durableId="33770231">
    <w:abstractNumId w:val="17"/>
  </w:num>
  <w:num w:numId="27" w16cid:durableId="1428384796">
    <w:abstractNumId w:val="33"/>
  </w:num>
  <w:num w:numId="28" w16cid:durableId="2037466860">
    <w:abstractNumId w:val="25"/>
  </w:num>
  <w:num w:numId="29" w16cid:durableId="1421104808">
    <w:abstractNumId w:val="24"/>
  </w:num>
  <w:num w:numId="30" w16cid:durableId="1039235975">
    <w:abstractNumId w:val="40"/>
  </w:num>
  <w:num w:numId="31" w16cid:durableId="1366523747">
    <w:abstractNumId w:val="29"/>
  </w:num>
  <w:num w:numId="32" w16cid:durableId="939140988">
    <w:abstractNumId w:val="20"/>
  </w:num>
  <w:num w:numId="33" w16cid:durableId="1983578670">
    <w:abstractNumId w:val="30"/>
  </w:num>
  <w:num w:numId="34" w16cid:durableId="1754662500">
    <w:abstractNumId w:val="14"/>
  </w:num>
  <w:num w:numId="35" w16cid:durableId="9621574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26933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6871386">
    <w:abstractNumId w:val="10"/>
  </w:num>
  <w:num w:numId="38" w16cid:durableId="734085567">
    <w:abstractNumId w:val="10"/>
  </w:num>
  <w:num w:numId="39" w16cid:durableId="1100028628">
    <w:abstractNumId w:val="39"/>
  </w:num>
  <w:num w:numId="40" w16cid:durableId="265816858">
    <w:abstractNumId w:val="31"/>
  </w:num>
  <w:num w:numId="41" w16cid:durableId="1864200185">
    <w:abstractNumId w:val="11"/>
  </w:num>
  <w:num w:numId="42" w16cid:durableId="1755978686">
    <w:abstractNumId w:val="10"/>
  </w:num>
  <w:num w:numId="43" w16cid:durableId="1527716955">
    <w:abstractNumId w:val="34"/>
  </w:num>
  <w:num w:numId="44" w16cid:durableId="614336384">
    <w:abstractNumId w:val="21"/>
  </w:num>
  <w:num w:numId="45" w16cid:durableId="1496721668">
    <w:abstractNumId w:val="13"/>
  </w:num>
  <w:num w:numId="46" w16cid:durableId="1322587680">
    <w:abstractNumId w:val="12"/>
  </w:num>
  <w:num w:numId="47" w16cid:durableId="1942302011">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D6"/>
    <w:rsid w:val="0000042D"/>
    <w:rsid w:val="00000E05"/>
    <w:rsid w:val="00002A25"/>
    <w:rsid w:val="00002F93"/>
    <w:rsid w:val="0000365C"/>
    <w:rsid w:val="00003725"/>
    <w:rsid w:val="000040C8"/>
    <w:rsid w:val="00007E02"/>
    <w:rsid w:val="00010B34"/>
    <w:rsid w:val="00011278"/>
    <w:rsid w:val="00012F3B"/>
    <w:rsid w:val="0001373A"/>
    <w:rsid w:val="00014054"/>
    <w:rsid w:val="000143E3"/>
    <w:rsid w:val="000154A7"/>
    <w:rsid w:val="00016BFC"/>
    <w:rsid w:val="00017667"/>
    <w:rsid w:val="00020DE1"/>
    <w:rsid w:val="00021544"/>
    <w:rsid w:val="00021CA5"/>
    <w:rsid w:val="00021FBA"/>
    <w:rsid w:val="000228AF"/>
    <w:rsid w:val="000236FF"/>
    <w:rsid w:val="00023A9F"/>
    <w:rsid w:val="00023ED5"/>
    <w:rsid w:val="00024119"/>
    <w:rsid w:val="000241C8"/>
    <w:rsid w:val="0002430B"/>
    <w:rsid w:val="00025E35"/>
    <w:rsid w:val="000265FC"/>
    <w:rsid w:val="00026BCC"/>
    <w:rsid w:val="000272F4"/>
    <w:rsid w:val="00027E8A"/>
    <w:rsid w:val="000301CD"/>
    <w:rsid w:val="000324DA"/>
    <w:rsid w:val="00032E00"/>
    <w:rsid w:val="00033771"/>
    <w:rsid w:val="00034F81"/>
    <w:rsid w:val="00035DD8"/>
    <w:rsid w:val="00035FE4"/>
    <w:rsid w:val="00037B14"/>
    <w:rsid w:val="000405D5"/>
    <w:rsid w:val="00041175"/>
    <w:rsid w:val="00041CCC"/>
    <w:rsid w:val="000422D7"/>
    <w:rsid w:val="00042585"/>
    <w:rsid w:val="00042D5E"/>
    <w:rsid w:val="00043A53"/>
    <w:rsid w:val="0004424F"/>
    <w:rsid w:val="00044510"/>
    <w:rsid w:val="00044A45"/>
    <w:rsid w:val="00045AF2"/>
    <w:rsid w:val="00045E7A"/>
    <w:rsid w:val="00047659"/>
    <w:rsid w:val="00047C3B"/>
    <w:rsid w:val="00051FD3"/>
    <w:rsid w:val="00053FD1"/>
    <w:rsid w:val="000546C2"/>
    <w:rsid w:val="00055EE3"/>
    <w:rsid w:val="0005780E"/>
    <w:rsid w:val="000615CF"/>
    <w:rsid w:val="00061F66"/>
    <w:rsid w:val="00061F92"/>
    <w:rsid w:val="00062E29"/>
    <w:rsid w:val="000637A6"/>
    <w:rsid w:val="00063ED7"/>
    <w:rsid w:val="000675F4"/>
    <w:rsid w:val="00067EE1"/>
    <w:rsid w:val="000704A4"/>
    <w:rsid w:val="00070AB1"/>
    <w:rsid w:val="00070D52"/>
    <w:rsid w:val="00072DA2"/>
    <w:rsid w:val="00074591"/>
    <w:rsid w:val="00075A05"/>
    <w:rsid w:val="00076DBA"/>
    <w:rsid w:val="00081B83"/>
    <w:rsid w:val="00081CBD"/>
    <w:rsid w:val="00081E01"/>
    <w:rsid w:val="00081FD7"/>
    <w:rsid w:val="0008256B"/>
    <w:rsid w:val="0008276D"/>
    <w:rsid w:val="0008280D"/>
    <w:rsid w:val="00083293"/>
    <w:rsid w:val="00084430"/>
    <w:rsid w:val="00085EB8"/>
    <w:rsid w:val="00087AB7"/>
    <w:rsid w:val="00087B3C"/>
    <w:rsid w:val="000909BA"/>
    <w:rsid w:val="000909CE"/>
    <w:rsid w:val="00090BB0"/>
    <w:rsid w:val="000937B8"/>
    <w:rsid w:val="00095326"/>
    <w:rsid w:val="000955B1"/>
    <w:rsid w:val="00097021"/>
    <w:rsid w:val="00097B43"/>
    <w:rsid w:val="00097C74"/>
    <w:rsid w:val="00097EBD"/>
    <w:rsid w:val="000A08D2"/>
    <w:rsid w:val="000A13EC"/>
    <w:rsid w:val="000A2685"/>
    <w:rsid w:val="000A2E36"/>
    <w:rsid w:val="000A2FC0"/>
    <w:rsid w:val="000A4F5F"/>
    <w:rsid w:val="000A5D5F"/>
    <w:rsid w:val="000B0706"/>
    <w:rsid w:val="000B0BA3"/>
    <w:rsid w:val="000B13EA"/>
    <w:rsid w:val="000B1D96"/>
    <w:rsid w:val="000B1E49"/>
    <w:rsid w:val="000B283A"/>
    <w:rsid w:val="000B3212"/>
    <w:rsid w:val="000B3A6F"/>
    <w:rsid w:val="000B5F37"/>
    <w:rsid w:val="000B7969"/>
    <w:rsid w:val="000B7D26"/>
    <w:rsid w:val="000B7DA3"/>
    <w:rsid w:val="000C1F1A"/>
    <w:rsid w:val="000C2C3F"/>
    <w:rsid w:val="000C3217"/>
    <w:rsid w:val="000C3D5B"/>
    <w:rsid w:val="000C4F7E"/>
    <w:rsid w:val="000C7263"/>
    <w:rsid w:val="000C7C5A"/>
    <w:rsid w:val="000D139D"/>
    <w:rsid w:val="000D160E"/>
    <w:rsid w:val="000D22FE"/>
    <w:rsid w:val="000D4077"/>
    <w:rsid w:val="000D4C00"/>
    <w:rsid w:val="000D5425"/>
    <w:rsid w:val="000D63FC"/>
    <w:rsid w:val="000D67B3"/>
    <w:rsid w:val="000D7045"/>
    <w:rsid w:val="000D7781"/>
    <w:rsid w:val="000E04A2"/>
    <w:rsid w:val="000E068F"/>
    <w:rsid w:val="000E0EFE"/>
    <w:rsid w:val="000E12F4"/>
    <w:rsid w:val="000E1D6C"/>
    <w:rsid w:val="000E30AD"/>
    <w:rsid w:val="000E4628"/>
    <w:rsid w:val="000E5D56"/>
    <w:rsid w:val="000E633F"/>
    <w:rsid w:val="000E65AA"/>
    <w:rsid w:val="000E75F4"/>
    <w:rsid w:val="000E76D0"/>
    <w:rsid w:val="000F09E3"/>
    <w:rsid w:val="000F0DA8"/>
    <w:rsid w:val="000F193B"/>
    <w:rsid w:val="000F1D28"/>
    <w:rsid w:val="000F1EB1"/>
    <w:rsid w:val="000F26BE"/>
    <w:rsid w:val="000F2DD2"/>
    <w:rsid w:val="000F30FC"/>
    <w:rsid w:val="000F3D14"/>
    <w:rsid w:val="000F4555"/>
    <w:rsid w:val="000F4904"/>
    <w:rsid w:val="000F5447"/>
    <w:rsid w:val="000F6009"/>
    <w:rsid w:val="000F6822"/>
    <w:rsid w:val="000F68B2"/>
    <w:rsid w:val="000F6B89"/>
    <w:rsid w:val="0010145C"/>
    <w:rsid w:val="00101E6B"/>
    <w:rsid w:val="00103A0E"/>
    <w:rsid w:val="00104D30"/>
    <w:rsid w:val="00104E18"/>
    <w:rsid w:val="001123A8"/>
    <w:rsid w:val="00112AC9"/>
    <w:rsid w:val="0011309F"/>
    <w:rsid w:val="00113662"/>
    <w:rsid w:val="00113E27"/>
    <w:rsid w:val="00115182"/>
    <w:rsid w:val="00115230"/>
    <w:rsid w:val="00116C98"/>
    <w:rsid w:val="001229A1"/>
    <w:rsid w:val="00123877"/>
    <w:rsid w:val="001256CC"/>
    <w:rsid w:val="00125B9F"/>
    <w:rsid w:val="001269E4"/>
    <w:rsid w:val="001271A5"/>
    <w:rsid w:val="001274AB"/>
    <w:rsid w:val="001303A7"/>
    <w:rsid w:val="00131502"/>
    <w:rsid w:val="001318BA"/>
    <w:rsid w:val="00132CE2"/>
    <w:rsid w:val="0013324A"/>
    <w:rsid w:val="001347B0"/>
    <w:rsid w:val="00134867"/>
    <w:rsid w:val="0013614B"/>
    <w:rsid w:val="0013667D"/>
    <w:rsid w:val="00136782"/>
    <w:rsid w:val="00136B45"/>
    <w:rsid w:val="00140C58"/>
    <w:rsid w:val="00142F42"/>
    <w:rsid w:val="00143BCC"/>
    <w:rsid w:val="00144289"/>
    <w:rsid w:val="00144A47"/>
    <w:rsid w:val="00144DDA"/>
    <w:rsid w:val="00145B09"/>
    <w:rsid w:val="00146746"/>
    <w:rsid w:val="0015067B"/>
    <w:rsid w:val="00151DAE"/>
    <w:rsid w:val="00152660"/>
    <w:rsid w:val="0015305B"/>
    <w:rsid w:val="001532D7"/>
    <w:rsid w:val="00153728"/>
    <w:rsid w:val="00154570"/>
    <w:rsid w:val="001548FA"/>
    <w:rsid w:val="0015729A"/>
    <w:rsid w:val="00157D75"/>
    <w:rsid w:val="00160021"/>
    <w:rsid w:val="0016173C"/>
    <w:rsid w:val="001618D0"/>
    <w:rsid w:val="00162208"/>
    <w:rsid w:val="00162D2A"/>
    <w:rsid w:val="00163B6F"/>
    <w:rsid w:val="00163F56"/>
    <w:rsid w:val="001645BB"/>
    <w:rsid w:val="00167213"/>
    <w:rsid w:val="00167568"/>
    <w:rsid w:val="00167A01"/>
    <w:rsid w:val="00167C73"/>
    <w:rsid w:val="00170DDA"/>
    <w:rsid w:val="0017127E"/>
    <w:rsid w:val="00172895"/>
    <w:rsid w:val="00172A03"/>
    <w:rsid w:val="00172C49"/>
    <w:rsid w:val="00173F24"/>
    <w:rsid w:val="0017481C"/>
    <w:rsid w:val="00175AE4"/>
    <w:rsid w:val="001762D1"/>
    <w:rsid w:val="001762ED"/>
    <w:rsid w:val="00176BA3"/>
    <w:rsid w:val="00176D23"/>
    <w:rsid w:val="00177813"/>
    <w:rsid w:val="00177FE7"/>
    <w:rsid w:val="00180F62"/>
    <w:rsid w:val="001826AE"/>
    <w:rsid w:val="001868F7"/>
    <w:rsid w:val="00190541"/>
    <w:rsid w:val="00190CE0"/>
    <w:rsid w:val="001913EE"/>
    <w:rsid w:val="001942E7"/>
    <w:rsid w:val="001958FA"/>
    <w:rsid w:val="00197D00"/>
    <w:rsid w:val="001A017B"/>
    <w:rsid w:val="001A0ACC"/>
    <w:rsid w:val="001A1CFD"/>
    <w:rsid w:val="001A465B"/>
    <w:rsid w:val="001A4B6E"/>
    <w:rsid w:val="001A4D96"/>
    <w:rsid w:val="001A4E99"/>
    <w:rsid w:val="001A57B8"/>
    <w:rsid w:val="001A58E6"/>
    <w:rsid w:val="001A71F2"/>
    <w:rsid w:val="001A76F2"/>
    <w:rsid w:val="001A7DED"/>
    <w:rsid w:val="001B4030"/>
    <w:rsid w:val="001B44FB"/>
    <w:rsid w:val="001B472C"/>
    <w:rsid w:val="001B5030"/>
    <w:rsid w:val="001B53A8"/>
    <w:rsid w:val="001B5A88"/>
    <w:rsid w:val="001B5D12"/>
    <w:rsid w:val="001B6286"/>
    <w:rsid w:val="001B67BF"/>
    <w:rsid w:val="001B6906"/>
    <w:rsid w:val="001B77F4"/>
    <w:rsid w:val="001C1D17"/>
    <w:rsid w:val="001C2F5A"/>
    <w:rsid w:val="001C4188"/>
    <w:rsid w:val="001C66DC"/>
    <w:rsid w:val="001D0863"/>
    <w:rsid w:val="001D1F24"/>
    <w:rsid w:val="001D3D19"/>
    <w:rsid w:val="001D4C20"/>
    <w:rsid w:val="001D4CF2"/>
    <w:rsid w:val="001D6957"/>
    <w:rsid w:val="001D6972"/>
    <w:rsid w:val="001D6B6E"/>
    <w:rsid w:val="001E0215"/>
    <w:rsid w:val="001E06A5"/>
    <w:rsid w:val="001E0F2A"/>
    <w:rsid w:val="001E2E13"/>
    <w:rsid w:val="001E361D"/>
    <w:rsid w:val="001E4773"/>
    <w:rsid w:val="001E5A72"/>
    <w:rsid w:val="001E61B2"/>
    <w:rsid w:val="001E7D19"/>
    <w:rsid w:val="001F10CA"/>
    <w:rsid w:val="001F29CD"/>
    <w:rsid w:val="001F7461"/>
    <w:rsid w:val="001F76C0"/>
    <w:rsid w:val="00202466"/>
    <w:rsid w:val="00202847"/>
    <w:rsid w:val="00203DA9"/>
    <w:rsid w:val="00204F57"/>
    <w:rsid w:val="00205699"/>
    <w:rsid w:val="00205F02"/>
    <w:rsid w:val="00206B69"/>
    <w:rsid w:val="002079E9"/>
    <w:rsid w:val="00210F4B"/>
    <w:rsid w:val="002124BB"/>
    <w:rsid w:val="002136D3"/>
    <w:rsid w:val="00215196"/>
    <w:rsid w:val="002151BD"/>
    <w:rsid w:val="00215844"/>
    <w:rsid w:val="0021676F"/>
    <w:rsid w:val="0021698B"/>
    <w:rsid w:val="00216C6F"/>
    <w:rsid w:val="00216D7E"/>
    <w:rsid w:val="00217AE2"/>
    <w:rsid w:val="00217E19"/>
    <w:rsid w:val="00220AAF"/>
    <w:rsid w:val="00221750"/>
    <w:rsid w:val="00222275"/>
    <w:rsid w:val="002233BA"/>
    <w:rsid w:val="00225E0C"/>
    <w:rsid w:val="00226044"/>
    <w:rsid w:val="0022648B"/>
    <w:rsid w:val="00226A85"/>
    <w:rsid w:val="00230474"/>
    <w:rsid w:val="002310C1"/>
    <w:rsid w:val="00231C77"/>
    <w:rsid w:val="00232752"/>
    <w:rsid w:val="00232BDB"/>
    <w:rsid w:val="00233000"/>
    <w:rsid w:val="0023356C"/>
    <w:rsid w:val="0023535E"/>
    <w:rsid w:val="00235F89"/>
    <w:rsid w:val="00236A4B"/>
    <w:rsid w:val="00237729"/>
    <w:rsid w:val="00240536"/>
    <w:rsid w:val="00240F06"/>
    <w:rsid w:val="002411C9"/>
    <w:rsid w:val="002413B2"/>
    <w:rsid w:val="002430E9"/>
    <w:rsid w:val="002432B5"/>
    <w:rsid w:val="002440BC"/>
    <w:rsid w:val="00244167"/>
    <w:rsid w:val="0024455B"/>
    <w:rsid w:val="0024585F"/>
    <w:rsid w:val="0024587D"/>
    <w:rsid w:val="00245AA2"/>
    <w:rsid w:val="00246104"/>
    <w:rsid w:val="0024615A"/>
    <w:rsid w:val="00247858"/>
    <w:rsid w:val="0025017D"/>
    <w:rsid w:val="00253C53"/>
    <w:rsid w:val="00253CE9"/>
    <w:rsid w:val="00255292"/>
    <w:rsid w:val="0025541C"/>
    <w:rsid w:val="002602D8"/>
    <w:rsid w:val="00261E47"/>
    <w:rsid w:val="00261F2D"/>
    <w:rsid w:val="00263282"/>
    <w:rsid w:val="00263DEF"/>
    <w:rsid w:val="00264008"/>
    <w:rsid w:val="00264FC3"/>
    <w:rsid w:val="002664A2"/>
    <w:rsid w:val="00266CDF"/>
    <w:rsid w:val="0027077C"/>
    <w:rsid w:val="00270E7E"/>
    <w:rsid w:val="00271642"/>
    <w:rsid w:val="002724CD"/>
    <w:rsid w:val="00272627"/>
    <w:rsid w:val="00273316"/>
    <w:rsid w:val="00274650"/>
    <w:rsid w:val="00276709"/>
    <w:rsid w:val="002771F3"/>
    <w:rsid w:val="00280177"/>
    <w:rsid w:val="00280521"/>
    <w:rsid w:val="00281DBF"/>
    <w:rsid w:val="00282F47"/>
    <w:rsid w:val="002834D3"/>
    <w:rsid w:val="00283B39"/>
    <w:rsid w:val="00283F81"/>
    <w:rsid w:val="002846B7"/>
    <w:rsid w:val="00290E18"/>
    <w:rsid w:val="00290E79"/>
    <w:rsid w:val="0029200E"/>
    <w:rsid w:val="002922DA"/>
    <w:rsid w:val="00293E42"/>
    <w:rsid w:val="00293EAF"/>
    <w:rsid w:val="00294DF3"/>
    <w:rsid w:val="00295330"/>
    <w:rsid w:val="002965A3"/>
    <w:rsid w:val="00297644"/>
    <w:rsid w:val="002A0EA6"/>
    <w:rsid w:val="002A4FC6"/>
    <w:rsid w:val="002A558C"/>
    <w:rsid w:val="002A5A98"/>
    <w:rsid w:val="002A5D89"/>
    <w:rsid w:val="002A6105"/>
    <w:rsid w:val="002A79B9"/>
    <w:rsid w:val="002A7C7D"/>
    <w:rsid w:val="002B02EE"/>
    <w:rsid w:val="002B0F87"/>
    <w:rsid w:val="002B13D2"/>
    <w:rsid w:val="002B1BB4"/>
    <w:rsid w:val="002B1E38"/>
    <w:rsid w:val="002B400F"/>
    <w:rsid w:val="002B7738"/>
    <w:rsid w:val="002C1D84"/>
    <w:rsid w:val="002C2718"/>
    <w:rsid w:val="002C38F0"/>
    <w:rsid w:val="002C3E06"/>
    <w:rsid w:val="002C513C"/>
    <w:rsid w:val="002C588C"/>
    <w:rsid w:val="002C64AF"/>
    <w:rsid w:val="002C65EF"/>
    <w:rsid w:val="002C6E30"/>
    <w:rsid w:val="002D0F29"/>
    <w:rsid w:val="002D1D3A"/>
    <w:rsid w:val="002D28F2"/>
    <w:rsid w:val="002D2E3D"/>
    <w:rsid w:val="002D4BD9"/>
    <w:rsid w:val="002D5339"/>
    <w:rsid w:val="002D5AE2"/>
    <w:rsid w:val="002D5C33"/>
    <w:rsid w:val="002D6821"/>
    <w:rsid w:val="002D6EC2"/>
    <w:rsid w:val="002E0BC2"/>
    <w:rsid w:val="002E174A"/>
    <w:rsid w:val="002E1B51"/>
    <w:rsid w:val="002E23E7"/>
    <w:rsid w:val="002E2923"/>
    <w:rsid w:val="002E2DED"/>
    <w:rsid w:val="002E308A"/>
    <w:rsid w:val="002E3B34"/>
    <w:rsid w:val="002F12D0"/>
    <w:rsid w:val="002F1646"/>
    <w:rsid w:val="002F209F"/>
    <w:rsid w:val="002F2A47"/>
    <w:rsid w:val="002F3989"/>
    <w:rsid w:val="002F6073"/>
    <w:rsid w:val="002F65D1"/>
    <w:rsid w:val="002F6AD0"/>
    <w:rsid w:val="002F795B"/>
    <w:rsid w:val="002F7DE3"/>
    <w:rsid w:val="00300A47"/>
    <w:rsid w:val="00300C70"/>
    <w:rsid w:val="00301305"/>
    <w:rsid w:val="00306768"/>
    <w:rsid w:val="0030792F"/>
    <w:rsid w:val="0031066B"/>
    <w:rsid w:val="003109AF"/>
    <w:rsid w:val="00312640"/>
    <w:rsid w:val="00313F09"/>
    <w:rsid w:val="003157DE"/>
    <w:rsid w:val="00316841"/>
    <w:rsid w:val="003168B0"/>
    <w:rsid w:val="00316FDE"/>
    <w:rsid w:val="0031707D"/>
    <w:rsid w:val="00320117"/>
    <w:rsid w:val="0032058C"/>
    <w:rsid w:val="0032126A"/>
    <w:rsid w:val="003212A9"/>
    <w:rsid w:val="00321620"/>
    <w:rsid w:val="00322215"/>
    <w:rsid w:val="00323179"/>
    <w:rsid w:val="00323342"/>
    <w:rsid w:val="00324014"/>
    <w:rsid w:val="00324EA4"/>
    <w:rsid w:val="00325858"/>
    <w:rsid w:val="00326093"/>
    <w:rsid w:val="00326298"/>
    <w:rsid w:val="00327673"/>
    <w:rsid w:val="003314F9"/>
    <w:rsid w:val="00332897"/>
    <w:rsid w:val="00332937"/>
    <w:rsid w:val="00332CBC"/>
    <w:rsid w:val="0033342E"/>
    <w:rsid w:val="003345B3"/>
    <w:rsid w:val="00334CB0"/>
    <w:rsid w:val="00335295"/>
    <w:rsid w:val="00335844"/>
    <w:rsid w:val="0033744C"/>
    <w:rsid w:val="003404E4"/>
    <w:rsid w:val="00340587"/>
    <w:rsid w:val="0034163E"/>
    <w:rsid w:val="0034288E"/>
    <w:rsid w:val="0034295B"/>
    <w:rsid w:val="00342BFF"/>
    <w:rsid w:val="0034366C"/>
    <w:rsid w:val="00345C22"/>
    <w:rsid w:val="00345C2D"/>
    <w:rsid w:val="00346D65"/>
    <w:rsid w:val="00347417"/>
    <w:rsid w:val="00350CD0"/>
    <w:rsid w:val="00351CEE"/>
    <w:rsid w:val="00352FB2"/>
    <w:rsid w:val="00353041"/>
    <w:rsid w:val="003561A1"/>
    <w:rsid w:val="003575A0"/>
    <w:rsid w:val="00360D97"/>
    <w:rsid w:val="00360F48"/>
    <w:rsid w:val="003610CB"/>
    <w:rsid w:val="0036237C"/>
    <w:rsid w:val="00362A9E"/>
    <w:rsid w:val="00363F8F"/>
    <w:rsid w:val="00364966"/>
    <w:rsid w:val="0036639E"/>
    <w:rsid w:val="00366DB5"/>
    <w:rsid w:val="00367344"/>
    <w:rsid w:val="00367724"/>
    <w:rsid w:val="00367C57"/>
    <w:rsid w:val="003726E2"/>
    <w:rsid w:val="00372DFD"/>
    <w:rsid w:val="00373215"/>
    <w:rsid w:val="003735AB"/>
    <w:rsid w:val="00376C62"/>
    <w:rsid w:val="00376DD4"/>
    <w:rsid w:val="00377253"/>
    <w:rsid w:val="00377A72"/>
    <w:rsid w:val="003805B0"/>
    <w:rsid w:val="003815AD"/>
    <w:rsid w:val="0038260A"/>
    <w:rsid w:val="00382C87"/>
    <w:rsid w:val="00383F1F"/>
    <w:rsid w:val="0038426B"/>
    <w:rsid w:val="003844A8"/>
    <w:rsid w:val="003847FF"/>
    <w:rsid w:val="0038613A"/>
    <w:rsid w:val="00387E87"/>
    <w:rsid w:val="003902D6"/>
    <w:rsid w:val="003904D8"/>
    <w:rsid w:val="00390765"/>
    <w:rsid w:val="0039153F"/>
    <w:rsid w:val="003916EB"/>
    <w:rsid w:val="003924A9"/>
    <w:rsid w:val="0039411F"/>
    <w:rsid w:val="003943A4"/>
    <w:rsid w:val="00394DD3"/>
    <w:rsid w:val="00394FD4"/>
    <w:rsid w:val="00397501"/>
    <w:rsid w:val="003A01E9"/>
    <w:rsid w:val="003A2E69"/>
    <w:rsid w:val="003A3006"/>
    <w:rsid w:val="003A30A1"/>
    <w:rsid w:val="003A3314"/>
    <w:rsid w:val="003A339D"/>
    <w:rsid w:val="003A432F"/>
    <w:rsid w:val="003A479C"/>
    <w:rsid w:val="003A732C"/>
    <w:rsid w:val="003A79D3"/>
    <w:rsid w:val="003A7E5E"/>
    <w:rsid w:val="003B0852"/>
    <w:rsid w:val="003B3184"/>
    <w:rsid w:val="003B3A40"/>
    <w:rsid w:val="003B3EA8"/>
    <w:rsid w:val="003B49AB"/>
    <w:rsid w:val="003B4C47"/>
    <w:rsid w:val="003B5A8F"/>
    <w:rsid w:val="003B63FC"/>
    <w:rsid w:val="003B75D3"/>
    <w:rsid w:val="003C079E"/>
    <w:rsid w:val="003C156D"/>
    <w:rsid w:val="003C17BA"/>
    <w:rsid w:val="003C2999"/>
    <w:rsid w:val="003C29BC"/>
    <w:rsid w:val="003C2FF4"/>
    <w:rsid w:val="003C2FFA"/>
    <w:rsid w:val="003C32C0"/>
    <w:rsid w:val="003C3AE2"/>
    <w:rsid w:val="003C3B0A"/>
    <w:rsid w:val="003C3B95"/>
    <w:rsid w:val="003C4342"/>
    <w:rsid w:val="003C4F1D"/>
    <w:rsid w:val="003C502E"/>
    <w:rsid w:val="003C7167"/>
    <w:rsid w:val="003C72E1"/>
    <w:rsid w:val="003C735E"/>
    <w:rsid w:val="003D17C8"/>
    <w:rsid w:val="003D2310"/>
    <w:rsid w:val="003D3132"/>
    <w:rsid w:val="003D411D"/>
    <w:rsid w:val="003D66CA"/>
    <w:rsid w:val="003D7757"/>
    <w:rsid w:val="003E0503"/>
    <w:rsid w:val="003E09F1"/>
    <w:rsid w:val="003E1982"/>
    <w:rsid w:val="003E3972"/>
    <w:rsid w:val="003E39D6"/>
    <w:rsid w:val="003E4699"/>
    <w:rsid w:val="003E5063"/>
    <w:rsid w:val="003E546F"/>
    <w:rsid w:val="003E58A4"/>
    <w:rsid w:val="003E6192"/>
    <w:rsid w:val="003F060C"/>
    <w:rsid w:val="003F1293"/>
    <w:rsid w:val="003F12CC"/>
    <w:rsid w:val="003F1944"/>
    <w:rsid w:val="003F2AEF"/>
    <w:rsid w:val="003F32F3"/>
    <w:rsid w:val="003F3598"/>
    <w:rsid w:val="003F4388"/>
    <w:rsid w:val="003F4B59"/>
    <w:rsid w:val="003F5C4D"/>
    <w:rsid w:val="003F64FB"/>
    <w:rsid w:val="00401573"/>
    <w:rsid w:val="004015BF"/>
    <w:rsid w:val="00401ACF"/>
    <w:rsid w:val="00402F51"/>
    <w:rsid w:val="0040459F"/>
    <w:rsid w:val="00404684"/>
    <w:rsid w:val="00404C33"/>
    <w:rsid w:val="00411AD3"/>
    <w:rsid w:val="00412692"/>
    <w:rsid w:val="00412912"/>
    <w:rsid w:val="00412D05"/>
    <w:rsid w:val="00413D84"/>
    <w:rsid w:val="00415B14"/>
    <w:rsid w:val="004161BC"/>
    <w:rsid w:val="0041669D"/>
    <w:rsid w:val="004178EE"/>
    <w:rsid w:val="00417916"/>
    <w:rsid w:val="00417A05"/>
    <w:rsid w:val="0042105E"/>
    <w:rsid w:val="00421C13"/>
    <w:rsid w:val="00422CB0"/>
    <w:rsid w:val="00422FF6"/>
    <w:rsid w:val="00424274"/>
    <w:rsid w:val="0042463D"/>
    <w:rsid w:val="00425C6E"/>
    <w:rsid w:val="004263EE"/>
    <w:rsid w:val="00430650"/>
    <w:rsid w:val="00430F0C"/>
    <w:rsid w:val="00431D70"/>
    <w:rsid w:val="0043216F"/>
    <w:rsid w:val="004329B5"/>
    <w:rsid w:val="004330C6"/>
    <w:rsid w:val="00434527"/>
    <w:rsid w:val="0043481F"/>
    <w:rsid w:val="00434C5D"/>
    <w:rsid w:val="0043539F"/>
    <w:rsid w:val="0043588E"/>
    <w:rsid w:val="00435986"/>
    <w:rsid w:val="00435BA3"/>
    <w:rsid w:val="00435F27"/>
    <w:rsid w:val="00435FC7"/>
    <w:rsid w:val="004362E1"/>
    <w:rsid w:val="004368DF"/>
    <w:rsid w:val="0044049D"/>
    <w:rsid w:val="00441121"/>
    <w:rsid w:val="00441381"/>
    <w:rsid w:val="0044224A"/>
    <w:rsid w:val="004423B1"/>
    <w:rsid w:val="004444EE"/>
    <w:rsid w:val="0044474F"/>
    <w:rsid w:val="0044492A"/>
    <w:rsid w:val="00446955"/>
    <w:rsid w:val="004471A7"/>
    <w:rsid w:val="0045027F"/>
    <w:rsid w:val="00452725"/>
    <w:rsid w:val="004530B9"/>
    <w:rsid w:val="004539FC"/>
    <w:rsid w:val="0045558E"/>
    <w:rsid w:val="00456B40"/>
    <w:rsid w:val="00457B5F"/>
    <w:rsid w:val="00460419"/>
    <w:rsid w:val="00460D92"/>
    <w:rsid w:val="004619A8"/>
    <w:rsid w:val="004619BC"/>
    <w:rsid w:val="00462438"/>
    <w:rsid w:val="00463BDA"/>
    <w:rsid w:val="00466055"/>
    <w:rsid w:val="004663B4"/>
    <w:rsid w:val="00466533"/>
    <w:rsid w:val="004679C8"/>
    <w:rsid w:val="00470588"/>
    <w:rsid w:val="00472435"/>
    <w:rsid w:val="00475433"/>
    <w:rsid w:val="0047627A"/>
    <w:rsid w:val="0048311B"/>
    <w:rsid w:val="0048311D"/>
    <w:rsid w:val="00484BBE"/>
    <w:rsid w:val="004859A8"/>
    <w:rsid w:val="0049119B"/>
    <w:rsid w:val="0049173A"/>
    <w:rsid w:val="00491C6A"/>
    <w:rsid w:val="00494162"/>
    <w:rsid w:val="004959E6"/>
    <w:rsid w:val="00496771"/>
    <w:rsid w:val="00497453"/>
    <w:rsid w:val="004A015D"/>
    <w:rsid w:val="004A0BA5"/>
    <w:rsid w:val="004A14BB"/>
    <w:rsid w:val="004A1DE1"/>
    <w:rsid w:val="004A3A2C"/>
    <w:rsid w:val="004A4304"/>
    <w:rsid w:val="004A4DFD"/>
    <w:rsid w:val="004A61C5"/>
    <w:rsid w:val="004A7B0B"/>
    <w:rsid w:val="004B014A"/>
    <w:rsid w:val="004B07C9"/>
    <w:rsid w:val="004B1079"/>
    <w:rsid w:val="004B2C61"/>
    <w:rsid w:val="004B3F4B"/>
    <w:rsid w:val="004B4068"/>
    <w:rsid w:val="004B438C"/>
    <w:rsid w:val="004B497E"/>
    <w:rsid w:val="004B6698"/>
    <w:rsid w:val="004C0298"/>
    <w:rsid w:val="004C2632"/>
    <w:rsid w:val="004C28E0"/>
    <w:rsid w:val="004C2A66"/>
    <w:rsid w:val="004C2DAA"/>
    <w:rsid w:val="004C2E95"/>
    <w:rsid w:val="004C2F78"/>
    <w:rsid w:val="004C31BA"/>
    <w:rsid w:val="004C38F1"/>
    <w:rsid w:val="004C38FE"/>
    <w:rsid w:val="004C434E"/>
    <w:rsid w:val="004C4C2A"/>
    <w:rsid w:val="004C7FFB"/>
    <w:rsid w:val="004D19C8"/>
    <w:rsid w:val="004D32F3"/>
    <w:rsid w:val="004D3E44"/>
    <w:rsid w:val="004D43C9"/>
    <w:rsid w:val="004D4647"/>
    <w:rsid w:val="004D5E5B"/>
    <w:rsid w:val="004E044D"/>
    <w:rsid w:val="004E0A23"/>
    <w:rsid w:val="004E2447"/>
    <w:rsid w:val="004E2821"/>
    <w:rsid w:val="004E3106"/>
    <w:rsid w:val="004E3ADC"/>
    <w:rsid w:val="004E3DE8"/>
    <w:rsid w:val="004E4728"/>
    <w:rsid w:val="004E5890"/>
    <w:rsid w:val="004E595F"/>
    <w:rsid w:val="004E633D"/>
    <w:rsid w:val="004F002F"/>
    <w:rsid w:val="004F11AB"/>
    <w:rsid w:val="004F2BBD"/>
    <w:rsid w:val="004F5568"/>
    <w:rsid w:val="004F5D93"/>
    <w:rsid w:val="004F6EFD"/>
    <w:rsid w:val="004F7867"/>
    <w:rsid w:val="004F7D5D"/>
    <w:rsid w:val="0050002D"/>
    <w:rsid w:val="005013DA"/>
    <w:rsid w:val="00501A4F"/>
    <w:rsid w:val="00502EE5"/>
    <w:rsid w:val="005033D5"/>
    <w:rsid w:val="005051A1"/>
    <w:rsid w:val="00505B06"/>
    <w:rsid w:val="005060D6"/>
    <w:rsid w:val="00507869"/>
    <w:rsid w:val="00510ED9"/>
    <w:rsid w:val="0051265F"/>
    <w:rsid w:val="0051268C"/>
    <w:rsid w:val="00512BE6"/>
    <w:rsid w:val="00512C2A"/>
    <w:rsid w:val="00512D04"/>
    <w:rsid w:val="00514727"/>
    <w:rsid w:val="00517061"/>
    <w:rsid w:val="00520B2F"/>
    <w:rsid w:val="005213E9"/>
    <w:rsid w:val="00521919"/>
    <w:rsid w:val="00521BBB"/>
    <w:rsid w:val="00521CD9"/>
    <w:rsid w:val="005220B5"/>
    <w:rsid w:val="00522B37"/>
    <w:rsid w:val="005230A6"/>
    <w:rsid w:val="00526094"/>
    <w:rsid w:val="0052626D"/>
    <w:rsid w:val="0052644B"/>
    <w:rsid w:val="00530095"/>
    <w:rsid w:val="00530B02"/>
    <w:rsid w:val="00530ED8"/>
    <w:rsid w:val="005319C1"/>
    <w:rsid w:val="00531D11"/>
    <w:rsid w:val="00532558"/>
    <w:rsid w:val="00533889"/>
    <w:rsid w:val="0053441B"/>
    <w:rsid w:val="00536128"/>
    <w:rsid w:val="005361C8"/>
    <w:rsid w:val="0053682F"/>
    <w:rsid w:val="0053689E"/>
    <w:rsid w:val="00536AC7"/>
    <w:rsid w:val="00536D1A"/>
    <w:rsid w:val="005379DF"/>
    <w:rsid w:val="00537AD1"/>
    <w:rsid w:val="00537E52"/>
    <w:rsid w:val="00537FF0"/>
    <w:rsid w:val="00541F1A"/>
    <w:rsid w:val="00542439"/>
    <w:rsid w:val="00543AE5"/>
    <w:rsid w:val="00544D15"/>
    <w:rsid w:val="005476B6"/>
    <w:rsid w:val="005500D4"/>
    <w:rsid w:val="00552A43"/>
    <w:rsid w:val="00552AF2"/>
    <w:rsid w:val="00553691"/>
    <w:rsid w:val="00555967"/>
    <w:rsid w:val="00556178"/>
    <w:rsid w:val="0055705C"/>
    <w:rsid w:val="00557139"/>
    <w:rsid w:val="00557976"/>
    <w:rsid w:val="005611E2"/>
    <w:rsid w:val="00561383"/>
    <w:rsid w:val="005658D2"/>
    <w:rsid w:val="00565B46"/>
    <w:rsid w:val="00567DAA"/>
    <w:rsid w:val="00570720"/>
    <w:rsid w:val="00572E66"/>
    <w:rsid w:val="00573047"/>
    <w:rsid w:val="005730E8"/>
    <w:rsid w:val="00574059"/>
    <w:rsid w:val="0057451B"/>
    <w:rsid w:val="00575454"/>
    <w:rsid w:val="0057616B"/>
    <w:rsid w:val="0057672D"/>
    <w:rsid w:val="005775F1"/>
    <w:rsid w:val="00577F32"/>
    <w:rsid w:val="00580BC7"/>
    <w:rsid w:val="00581405"/>
    <w:rsid w:val="0058163B"/>
    <w:rsid w:val="005817D7"/>
    <w:rsid w:val="00583934"/>
    <w:rsid w:val="00584EC6"/>
    <w:rsid w:val="00586988"/>
    <w:rsid w:val="00590199"/>
    <w:rsid w:val="005919EB"/>
    <w:rsid w:val="00591FB2"/>
    <w:rsid w:val="00592A20"/>
    <w:rsid w:val="0059347E"/>
    <w:rsid w:val="0059382A"/>
    <w:rsid w:val="00594AD9"/>
    <w:rsid w:val="00594C68"/>
    <w:rsid w:val="00594F08"/>
    <w:rsid w:val="00595645"/>
    <w:rsid w:val="005958EF"/>
    <w:rsid w:val="0059640B"/>
    <w:rsid w:val="00596C10"/>
    <w:rsid w:val="00596F9D"/>
    <w:rsid w:val="0059717E"/>
    <w:rsid w:val="0059749A"/>
    <w:rsid w:val="005A17C0"/>
    <w:rsid w:val="005A1EE4"/>
    <w:rsid w:val="005A21F1"/>
    <w:rsid w:val="005A2D45"/>
    <w:rsid w:val="005A2DF2"/>
    <w:rsid w:val="005A4D42"/>
    <w:rsid w:val="005A54D8"/>
    <w:rsid w:val="005A6428"/>
    <w:rsid w:val="005A6D21"/>
    <w:rsid w:val="005A6D4A"/>
    <w:rsid w:val="005B08AE"/>
    <w:rsid w:val="005B168A"/>
    <w:rsid w:val="005B170F"/>
    <w:rsid w:val="005B3109"/>
    <w:rsid w:val="005B3F54"/>
    <w:rsid w:val="005B48D5"/>
    <w:rsid w:val="005B5373"/>
    <w:rsid w:val="005B6F34"/>
    <w:rsid w:val="005B762E"/>
    <w:rsid w:val="005C0F9B"/>
    <w:rsid w:val="005C1110"/>
    <w:rsid w:val="005C14FC"/>
    <w:rsid w:val="005C1582"/>
    <w:rsid w:val="005C159F"/>
    <w:rsid w:val="005C3B03"/>
    <w:rsid w:val="005C3E95"/>
    <w:rsid w:val="005C4407"/>
    <w:rsid w:val="005C57C8"/>
    <w:rsid w:val="005C5AF4"/>
    <w:rsid w:val="005C5E82"/>
    <w:rsid w:val="005C7128"/>
    <w:rsid w:val="005C72A0"/>
    <w:rsid w:val="005D2E14"/>
    <w:rsid w:val="005D310F"/>
    <w:rsid w:val="005D6AA4"/>
    <w:rsid w:val="005E189A"/>
    <w:rsid w:val="005E19EE"/>
    <w:rsid w:val="005E3343"/>
    <w:rsid w:val="005E4D85"/>
    <w:rsid w:val="005E6D40"/>
    <w:rsid w:val="005F03CA"/>
    <w:rsid w:val="005F147F"/>
    <w:rsid w:val="005F17B8"/>
    <w:rsid w:val="005F351A"/>
    <w:rsid w:val="005F373B"/>
    <w:rsid w:val="005F4422"/>
    <w:rsid w:val="005F4A82"/>
    <w:rsid w:val="005F5102"/>
    <w:rsid w:val="005F5DD7"/>
    <w:rsid w:val="005F5F2D"/>
    <w:rsid w:val="005F7359"/>
    <w:rsid w:val="005F76FB"/>
    <w:rsid w:val="005F7F2F"/>
    <w:rsid w:val="00603705"/>
    <w:rsid w:val="00603975"/>
    <w:rsid w:val="0060397A"/>
    <w:rsid w:val="00603B11"/>
    <w:rsid w:val="00603D71"/>
    <w:rsid w:val="00604386"/>
    <w:rsid w:val="00604EC1"/>
    <w:rsid w:val="00605285"/>
    <w:rsid w:val="00605345"/>
    <w:rsid w:val="0060551B"/>
    <w:rsid w:val="00606168"/>
    <w:rsid w:val="0060673F"/>
    <w:rsid w:val="00607B8C"/>
    <w:rsid w:val="00607BE6"/>
    <w:rsid w:val="00611173"/>
    <w:rsid w:val="00612735"/>
    <w:rsid w:val="00613224"/>
    <w:rsid w:val="0061425D"/>
    <w:rsid w:val="00615A8F"/>
    <w:rsid w:val="006160C1"/>
    <w:rsid w:val="00617C9B"/>
    <w:rsid w:val="006200AE"/>
    <w:rsid w:val="006200DF"/>
    <w:rsid w:val="0062070B"/>
    <w:rsid w:val="00624517"/>
    <w:rsid w:val="00624A6B"/>
    <w:rsid w:val="00626245"/>
    <w:rsid w:val="00626AE4"/>
    <w:rsid w:val="006303E3"/>
    <w:rsid w:val="00630973"/>
    <w:rsid w:val="00632732"/>
    <w:rsid w:val="00634678"/>
    <w:rsid w:val="006349D4"/>
    <w:rsid w:val="0063536A"/>
    <w:rsid w:val="0063542A"/>
    <w:rsid w:val="0063569B"/>
    <w:rsid w:val="00635899"/>
    <w:rsid w:val="00637853"/>
    <w:rsid w:val="00640FB2"/>
    <w:rsid w:val="006415D3"/>
    <w:rsid w:val="0064227C"/>
    <w:rsid w:val="006429A2"/>
    <w:rsid w:val="00644243"/>
    <w:rsid w:val="00644F48"/>
    <w:rsid w:val="0064637B"/>
    <w:rsid w:val="00646592"/>
    <w:rsid w:val="00647E05"/>
    <w:rsid w:val="00650349"/>
    <w:rsid w:val="0065057B"/>
    <w:rsid w:val="00651D22"/>
    <w:rsid w:val="00652358"/>
    <w:rsid w:val="006528D3"/>
    <w:rsid w:val="00652DE0"/>
    <w:rsid w:val="00653369"/>
    <w:rsid w:val="00653A39"/>
    <w:rsid w:val="006545AD"/>
    <w:rsid w:val="00654750"/>
    <w:rsid w:val="006560D3"/>
    <w:rsid w:val="00656ECF"/>
    <w:rsid w:val="00660E57"/>
    <w:rsid w:val="0066430E"/>
    <w:rsid w:val="0066457C"/>
    <w:rsid w:val="0066593F"/>
    <w:rsid w:val="00665F98"/>
    <w:rsid w:val="006667C2"/>
    <w:rsid w:val="00667620"/>
    <w:rsid w:val="00670700"/>
    <w:rsid w:val="0067070C"/>
    <w:rsid w:val="0067169A"/>
    <w:rsid w:val="00671C87"/>
    <w:rsid w:val="00671EF3"/>
    <w:rsid w:val="006734FF"/>
    <w:rsid w:val="00673587"/>
    <w:rsid w:val="00673728"/>
    <w:rsid w:val="0067374B"/>
    <w:rsid w:val="0067387A"/>
    <w:rsid w:val="006750AF"/>
    <w:rsid w:val="0067529A"/>
    <w:rsid w:val="006754AF"/>
    <w:rsid w:val="00675604"/>
    <w:rsid w:val="0067560B"/>
    <w:rsid w:val="00676E60"/>
    <w:rsid w:val="00680FCD"/>
    <w:rsid w:val="006830A0"/>
    <w:rsid w:val="0068313C"/>
    <w:rsid w:val="00685188"/>
    <w:rsid w:val="006875BB"/>
    <w:rsid w:val="006900C1"/>
    <w:rsid w:val="00692A2C"/>
    <w:rsid w:val="00692D3E"/>
    <w:rsid w:val="0069306E"/>
    <w:rsid w:val="0069407B"/>
    <w:rsid w:val="00694D11"/>
    <w:rsid w:val="006950FC"/>
    <w:rsid w:val="00695846"/>
    <w:rsid w:val="00695EE9"/>
    <w:rsid w:val="00696981"/>
    <w:rsid w:val="00697CF1"/>
    <w:rsid w:val="006A0CED"/>
    <w:rsid w:val="006A1222"/>
    <w:rsid w:val="006A24BD"/>
    <w:rsid w:val="006A2F1E"/>
    <w:rsid w:val="006A3689"/>
    <w:rsid w:val="006A47EC"/>
    <w:rsid w:val="006A4DAB"/>
    <w:rsid w:val="006A4F42"/>
    <w:rsid w:val="006A50F1"/>
    <w:rsid w:val="006A58ED"/>
    <w:rsid w:val="006A737E"/>
    <w:rsid w:val="006A7A7F"/>
    <w:rsid w:val="006B0E0B"/>
    <w:rsid w:val="006B2A98"/>
    <w:rsid w:val="006B3E10"/>
    <w:rsid w:val="006B5BF0"/>
    <w:rsid w:val="006B6938"/>
    <w:rsid w:val="006B6BCD"/>
    <w:rsid w:val="006B782D"/>
    <w:rsid w:val="006B7C99"/>
    <w:rsid w:val="006C3B23"/>
    <w:rsid w:val="006C6C04"/>
    <w:rsid w:val="006C6E2F"/>
    <w:rsid w:val="006D0297"/>
    <w:rsid w:val="006D0AC2"/>
    <w:rsid w:val="006D0F01"/>
    <w:rsid w:val="006D126A"/>
    <w:rsid w:val="006D1997"/>
    <w:rsid w:val="006D19CE"/>
    <w:rsid w:val="006D2101"/>
    <w:rsid w:val="006D29AA"/>
    <w:rsid w:val="006D3439"/>
    <w:rsid w:val="006D3AA6"/>
    <w:rsid w:val="006D4635"/>
    <w:rsid w:val="006D54B5"/>
    <w:rsid w:val="006D5BA0"/>
    <w:rsid w:val="006D63C9"/>
    <w:rsid w:val="006D77A9"/>
    <w:rsid w:val="006D7AF4"/>
    <w:rsid w:val="006E0E60"/>
    <w:rsid w:val="006E1701"/>
    <w:rsid w:val="006E231A"/>
    <w:rsid w:val="006E374E"/>
    <w:rsid w:val="006E4515"/>
    <w:rsid w:val="006E5834"/>
    <w:rsid w:val="006E5A7B"/>
    <w:rsid w:val="006E5CFE"/>
    <w:rsid w:val="006E5F67"/>
    <w:rsid w:val="006E6AC5"/>
    <w:rsid w:val="006E6BDB"/>
    <w:rsid w:val="006E6F6C"/>
    <w:rsid w:val="006E7579"/>
    <w:rsid w:val="006E7ED7"/>
    <w:rsid w:val="006F026A"/>
    <w:rsid w:val="006F0573"/>
    <w:rsid w:val="006F0B23"/>
    <w:rsid w:val="006F0C74"/>
    <w:rsid w:val="006F10ED"/>
    <w:rsid w:val="006F1529"/>
    <w:rsid w:val="006F2CCA"/>
    <w:rsid w:val="006F33D3"/>
    <w:rsid w:val="006F3C7A"/>
    <w:rsid w:val="006F58A8"/>
    <w:rsid w:val="006F73B0"/>
    <w:rsid w:val="00702280"/>
    <w:rsid w:val="00703256"/>
    <w:rsid w:val="007038CD"/>
    <w:rsid w:val="00703932"/>
    <w:rsid w:val="0070409E"/>
    <w:rsid w:val="00704CD4"/>
    <w:rsid w:val="00705B8E"/>
    <w:rsid w:val="00705BD6"/>
    <w:rsid w:val="007066FB"/>
    <w:rsid w:val="00706FFA"/>
    <w:rsid w:val="0070760F"/>
    <w:rsid w:val="00707EFF"/>
    <w:rsid w:val="007100A1"/>
    <w:rsid w:val="007138E8"/>
    <w:rsid w:val="00713CD7"/>
    <w:rsid w:val="00714887"/>
    <w:rsid w:val="00714967"/>
    <w:rsid w:val="00717EBB"/>
    <w:rsid w:val="00717F3F"/>
    <w:rsid w:val="00720344"/>
    <w:rsid w:val="007213D3"/>
    <w:rsid w:val="007223FC"/>
    <w:rsid w:val="007235FD"/>
    <w:rsid w:val="00723B8C"/>
    <w:rsid w:val="00724038"/>
    <w:rsid w:val="00724ABF"/>
    <w:rsid w:val="007255D1"/>
    <w:rsid w:val="00726347"/>
    <w:rsid w:val="00726A98"/>
    <w:rsid w:val="00727AFE"/>
    <w:rsid w:val="00727E83"/>
    <w:rsid w:val="00730FE0"/>
    <w:rsid w:val="00731234"/>
    <w:rsid w:val="007324DC"/>
    <w:rsid w:val="00732927"/>
    <w:rsid w:val="00732C22"/>
    <w:rsid w:val="00733057"/>
    <w:rsid w:val="00733822"/>
    <w:rsid w:val="00733B5D"/>
    <w:rsid w:val="0073440A"/>
    <w:rsid w:val="00734823"/>
    <w:rsid w:val="00734B16"/>
    <w:rsid w:val="007365A3"/>
    <w:rsid w:val="00742DB9"/>
    <w:rsid w:val="00743B26"/>
    <w:rsid w:val="00744847"/>
    <w:rsid w:val="00745D45"/>
    <w:rsid w:val="007464B7"/>
    <w:rsid w:val="00746668"/>
    <w:rsid w:val="007474BA"/>
    <w:rsid w:val="00752691"/>
    <w:rsid w:val="007539C2"/>
    <w:rsid w:val="00753CBF"/>
    <w:rsid w:val="0075542C"/>
    <w:rsid w:val="00755DD7"/>
    <w:rsid w:val="00761957"/>
    <w:rsid w:val="00764AAE"/>
    <w:rsid w:val="007652E5"/>
    <w:rsid w:val="00765AA9"/>
    <w:rsid w:val="00765FB2"/>
    <w:rsid w:val="00766116"/>
    <w:rsid w:val="00766597"/>
    <w:rsid w:val="007675E4"/>
    <w:rsid w:val="0077021F"/>
    <w:rsid w:val="00770A91"/>
    <w:rsid w:val="00771274"/>
    <w:rsid w:val="00771D3A"/>
    <w:rsid w:val="00773129"/>
    <w:rsid w:val="00773E87"/>
    <w:rsid w:val="007743C7"/>
    <w:rsid w:val="007743DC"/>
    <w:rsid w:val="00775684"/>
    <w:rsid w:val="00776EF4"/>
    <w:rsid w:val="0077764A"/>
    <w:rsid w:val="00777DAE"/>
    <w:rsid w:val="007822D3"/>
    <w:rsid w:val="00782E33"/>
    <w:rsid w:val="00784698"/>
    <w:rsid w:val="00784A5B"/>
    <w:rsid w:val="007852BA"/>
    <w:rsid w:val="0078559C"/>
    <w:rsid w:val="00785961"/>
    <w:rsid w:val="00785B54"/>
    <w:rsid w:val="00786453"/>
    <w:rsid w:val="00786FE7"/>
    <w:rsid w:val="0078732B"/>
    <w:rsid w:val="007936A2"/>
    <w:rsid w:val="007938E6"/>
    <w:rsid w:val="00793EDF"/>
    <w:rsid w:val="00794971"/>
    <w:rsid w:val="007951C3"/>
    <w:rsid w:val="007952FE"/>
    <w:rsid w:val="00795A39"/>
    <w:rsid w:val="00795A61"/>
    <w:rsid w:val="00795C10"/>
    <w:rsid w:val="007968D4"/>
    <w:rsid w:val="007976BC"/>
    <w:rsid w:val="007A035F"/>
    <w:rsid w:val="007A0FC0"/>
    <w:rsid w:val="007A136F"/>
    <w:rsid w:val="007A18F4"/>
    <w:rsid w:val="007A290E"/>
    <w:rsid w:val="007A394F"/>
    <w:rsid w:val="007A456D"/>
    <w:rsid w:val="007A482A"/>
    <w:rsid w:val="007A56FB"/>
    <w:rsid w:val="007A60A5"/>
    <w:rsid w:val="007B037E"/>
    <w:rsid w:val="007B0D3D"/>
    <w:rsid w:val="007B2E04"/>
    <w:rsid w:val="007B36AC"/>
    <w:rsid w:val="007B4755"/>
    <w:rsid w:val="007B491D"/>
    <w:rsid w:val="007B64D5"/>
    <w:rsid w:val="007B6C7B"/>
    <w:rsid w:val="007C266A"/>
    <w:rsid w:val="007C3AFB"/>
    <w:rsid w:val="007C4BB3"/>
    <w:rsid w:val="007C5C9D"/>
    <w:rsid w:val="007C69F8"/>
    <w:rsid w:val="007C7393"/>
    <w:rsid w:val="007C7AE0"/>
    <w:rsid w:val="007D08F3"/>
    <w:rsid w:val="007D0BE7"/>
    <w:rsid w:val="007D0C6A"/>
    <w:rsid w:val="007D2646"/>
    <w:rsid w:val="007D3DE9"/>
    <w:rsid w:val="007D401A"/>
    <w:rsid w:val="007D4417"/>
    <w:rsid w:val="007D5058"/>
    <w:rsid w:val="007D50FC"/>
    <w:rsid w:val="007D5196"/>
    <w:rsid w:val="007D556C"/>
    <w:rsid w:val="007D55D6"/>
    <w:rsid w:val="007D6B80"/>
    <w:rsid w:val="007D70A3"/>
    <w:rsid w:val="007D7C86"/>
    <w:rsid w:val="007E0A7D"/>
    <w:rsid w:val="007E1267"/>
    <w:rsid w:val="007E1A06"/>
    <w:rsid w:val="007E2699"/>
    <w:rsid w:val="007E282C"/>
    <w:rsid w:val="007E2A73"/>
    <w:rsid w:val="007E3292"/>
    <w:rsid w:val="007E3DFD"/>
    <w:rsid w:val="007E499A"/>
    <w:rsid w:val="007F03B4"/>
    <w:rsid w:val="007F26E5"/>
    <w:rsid w:val="007F29AE"/>
    <w:rsid w:val="007F2ABC"/>
    <w:rsid w:val="007F379A"/>
    <w:rsid w:val="007F3A88"/>
    <w:rsid w:val="007F3B67"/>
    <w:rsid w:val="007F3D98"/>
    <w:rsid w:val="007F4BD8"/>
    <w:rsid w:val="007F5340"/>
    <w:rsid w:val="007F5351"/>
    <w:rsid w:val="007F57A2"/>
    <w:rsid w:val="007F6E47"/>
    <w:rsid w:val="007F727F"/>
    <w:rsid w:val="007F7BD3"/>
    <w:rsid w:val="00800B1E"/>
    <w:rsid w:val="00801702"/>
    <w:rsid w:val="0080193D"/>
    <w:rsid w:val="008025C6"/>
    <w:rsid w:val="00803496"/>
    <w:rsid w:val="0080372E"/>
    <w:rsid w:val="00803A75"/>
    <w:rsid w:val="00804193"/>
    <w:rsid w:val="008043E1"/>
    <w:rsid w:val="008065C1"/>
    <w:rsid w:val="00807569"/>
    <w:rsid w:val="008105E5"/>
    <w:rsid w:val="00811526"/>
    <w:rsid w:val="00811AE6"/>
    <w:rsid w:val="00812FFF"/>
    <w:rsid w:val="00813501"/>
    <w:rsid w:val="00813C7F"/>
    <w:rsid w:val="00814779"/>
    <w:rsid w:val="0081525A"/>
    <w:rsid w:val="00815473"/>
    <w:rsid w:val="0081552A"/>
    <w:rsid w:val="008159F5"/>
    <w:rsid w:val="008163CB"/>
    <w:rsid w:val="0081706E"/>
    <w:rsid w:val="00817358"/>
    <w:rsid w:val="00821209"/>
    <w:rsid w:val="008237DE"/>
    <w:rsid w:val="00824319"/>
    <w:rsid w:val="0082459F"/>
    <w:rsid w:val="00824932"/>
    <w:rsid w:val="008254B5"/>
    <w:rsid w:val="008255CB"/>
    <w:rsid w:val="00825706"/>
    <w:rsid w:val="00826FAD"/>
    <w:rsid w:val="008277D5"/>
    <w:rsid w:val="00831079"/>
    <w:rsid w:val="00831326"/>
    <w:rsid w:val="00831DFF"/>
    <w:rsid w:val="00832443"/>
    <w:rsid w:val="008348D5"/>
    <w:rsid w:val="0083524A"/>
    <w:rsid w:val="008358CB"/>
    <w:rsid w:val="008368A0"/>
    <w:rsid w:val="008403DF"/>
    <w:rsid w:val="00840462"/>
    <w:rsid w:val="008412A5"/>
    <w:rsid w:val="0084131E"/>
    <w:rsid w:val="008424EC"/>
    <w:rsid w:val="008436A7"/>
    <w:rsid w:val="008437B7"/>
    <w:rsid w:val="00843863"/>
    <w:rsid w:val="008445BF"/>
    <w:rsid w:val="00845BA1"/>
    <w:rsid w:val="008473DD"/>
    <w:rsid w:val="00847C07"/>
    <w:rsid w:val="00850E86"/>
    <w:rsid w:val="00853FE0"/>
    <w:rsid w:val="00855982"/>
    <w:rsid w:val="00855EA4"/>
    <w:rsid w:val="00856425"/>
    <w:rsid w:val="0085682A"/>
    <w:rsid w:val="0086068D"/>
    <w:rsid w:val="00860A99"/>
    <w:rsid w:val="00861C97"/>
    <w:rsid w:val="0086295C"/>
    <w:rsid w:val="00863069"/>
    <w:rsid w:val="00864571"/>
    <w:rsid w:val="00865B9F"/>
    <w:rsid w:val="00865EF5"/>
    <w:rsid w:val="0086624B"/>
    <w:rsid w:val="00866E27"/>
    <w:rsid w:val="008673F0"/>
    <w:rsid w:val="00867961"/>
    <w:rsid w:val="00867F9F"/>
    <w:rsid w:val="00871970"/>
    <w:rsid w:val="00872F44"/>
    <w:rsid w:val="0087374A"/>
    <w:rsid w:val="00873F87"/>
    <w:rsid w:val="00873F8A"/>
    <w:rsid w:val="0087573E"/>
    <w:rsid w:val="00875FB9"/>
    <w:rsid w:val="00876C17"/>
    <w:rsid w:val="00877284"/>
    <w:rsid w:val="008775E5"/>
    <w:rsid w:val="008806B4"/>
    <w:rsid w:val="00880928"/>
    <w:rsid w:val="0088155F"/>
    <w:rsid w:val="008827BC"/>
    <w:rsid w:val="00885F5D"/>
    <w:rsid w:val="00890425"/>
    <w:rsid w:val="0089092C"/>
    <w:rsid w:val="00890D75"/>
    <w:rsid w:val="00890E38"/>
    <w:rsid w:val="00891B91"/>
    <w:rsid w:val="00892B9E"/>
    <w:rsid w:val="00893111"/>
    <w:rsid w:val="0089380B"/>
    <w:rsid w:val="00893C42"/>
    <w:rsid w:val="00896434"/>
    <w:rsid w:val="00896601"/>
    <w:rsid w:val="00896C47"/>
    <w:rsid w:val="0089761C"/>
    <w:rsid w:val="008A0156"/>
    <w:rsid w:val="008A0845"/>
    <w:rsid w:val="008A08E6"/>
    <w:rsid w:val="008A1426"/>
    <w:rsid w:val="008A28DC"/>
    <w:rsid w:val="008A2F60"/>
    <w:rsid w:val="008A33F2"/>
    <w:rsid w:val="008A3FC5"/>
    <w:rsid w:val="008A4F32"/>
    <w:rsid w:val="008A6279"/>
    <w:rsid w:val="008A64A6"/>
    <w:rsid w:val="008B130D"/>
    <w:rsid w:val="008B20D9"/>
    <w:rsid w:val="008B2820"/>
    <w:rsid w:val="008B3C87"/>
    <w:rsid w:val="008B44B5"/>
    <w:rsid w:val="008B52FC"/>
    <w:rsid w:val="008B71A5"/>
    <w:rsid w:val="008C0031"/>
    <w:rsid w:val="008C0D06"/>
    <w:rsid w:val="008C0D4E"/>
    <w:rsid w:val="008C119B"/>
    <w:rsid w:val="008C3579"/>
    <w:rsid w:val="008C3C58"/>
    <w:rsid w:val="008C42DF"/>
    <w:rsid w:val="008C4733"/>
    <w:rsid w:val="008C5172"/>
    <w:rsid w:val="008C6F7F"/>
    <w:rsid w:val="008C73DF"/>
    <w:rsid w:val="008C7816"/>
    <w:rsid w:val="008D00F5"/>
    <w:rsid w:val="008D07D6"/>
    <w:rsid w:val="008D1789"/>
    <w:rsid w:val="008D1A5A"/>
    <w:rsid w:val="008D21CB"/>
    <w:rsid w:val="008D258E"/>
    <w:rsid w:val="008D49B6"/>
    <w:rsid w:val="008D4A6F"/>
    <w:rsid w:val="008D4C0B"/>
    <w:rsid w:val="008D4CE0"/>
    <w:rsid w:val="008D5D7D"/>
    <w:rsid w:val="008D7874"/>
    <w:rsid w:val="008D7B6A"/>
    <w:rsid w:val="008E1314"/>
    <w:rsid w:val="008E17A0"/>
    <w:rsid w:val="008E208C"/>
    <w:rsid w:val="008E20BC"/>
    <w:rsid w:val="008E3BA0"/>
    <w:rsid w:val="008E3DFC"/>
    <w:rsid w:val="008E4331"/>
    <w:rsid w:val="008E592C"/>
    <w:rsid w:val="008E5CB5"/>
    <w:rsid w:val="008E6B0B"/>
    <w:rsid w:val="008E7E2E"/>
    <w:rsid w:val="008F0B9B"/>
    <w:rsid w:val="008F0BCC"/>
    <w:rsid w:val="008F1402"/>
    <w:rsid w:val="008F1EC7"/>
    <w:rsid w:val="008F3209"/>
    <w:rsid w:val="008F36E9"/>
    <w:rsid w:val="008F4158"/>
    <w:rsid w:val="008F44E3"/>
    <w:rsid w:val="008F4D8A"/>
    <w:rsid w:val="008F4ED2"/>
    <w:rsid w:val="008F5671"/>
    <w:rsid w:val="008F60B1"/>
    <w:rsid w:val="008F725D"/>
    <w:rsid w:val="00901A01"/>
    <w:rsid w:val="00901E59"/>
    <w:rsid w:val="00902C40"/>
    <w:rsid w:val="009033F1"/>
    <w:rsid w:val="009042D2"/>
    <w:rsid w:val="00904623"/>
    <w:rsid w:val="00904DBA"/>
    <w:rsid w:val="0090604F"/>
    <w:rsid w:val="00906603"/>
    <w:rsid w:val="00910908"/>
    <w:rsid w:val="00913470"/>
    <w:rsid w:val="0091623C"/>
    <w:rsid w:val="0092066F"/>
    <w:rsid w:val="00920A27"/>
    <w:rsid w:val="00920B14"/>
    <w:rsid w:val="00920B3C"/>
    <w:rsid w:val="00921226"/>
    <w:rsid w:val="00921EBA"/>
    <w:rsid w:val="0092458C"/>
    <w:rsid w:val="009255CF"/>
    <w:rsid w:val="009261A8"/>
    <w:rsid w:val="009264A5"/>
    <w:rsid w:val="00926A89"/>
    <w:rsid w:val="00927E03"/>
    <w:rsid w:val="00930DF6"/>
    <w:rsid w:val="00931603"/>
    <w:rsid w:val="00931B7F"/>
    <w:rsid w:val="0093236F"/>
    <w:rsid w:val="00932D09"/>
    <w:rsid w:val="00932FA4"/>
    <w:rsid w:val="0093321F"/>
    <w:rsid w:val="0093401A"/>
    <w:rsid w:val="0093478F"/>
    <w:rsid w:val="00935DF8"/>
    <w:rsid w:val="0093646B"/>
    <w:rsid w:val="00936D5B"/>
    <w:rsid w:val="00937649"/>
    <w:rsid w:val="0094257B"/>
    <w:rsid w:val="00943370"/>
    <w:rsid w:val="00943F71"/>
    <w:rsid w:val="00944BA2"/>
    <w:rsid w:val="00945D87"/>
    <w:rsid w:val="00950D4A"/>
    <w:rsid w:val="00951FC9"/>
    <w:rsid w:val="0095223A"/>
    <w:rsid w:val="00954103"/>
    <w:rsid w:val="00954209"/>
    <w:rsid w:val="00955582"/>
    <w:rsid w:val="009568A2"/>
    <w:rsid w:val="00956A35"/>
    <w:rsid w:val="00957189"/>
    <w:rsid w:val="0095737E"/>
    <w:rsid w:val="009603D1"/>
    <w:rsid w:val="00960B41"/>
    <w:rsid w:val="009620BC"/>
    <w:rsid w:val="00962978"/>
    <w:rsid w:val="009638E8"/>
    <w:rsid w:val="00963FD8"/>
    <w:rsid w:val="009647C5"/>
    <w:rsid w:val="00965525"/>
    <w:rsid w:val="00965580"/>
    <w:rsid w:val="00966EEC"/>
    <w:rsid w:val="009678E7"/>
    <w:rsid w:val="0097011D"/>
    <w:rsid w:val="009702ED"/>
    <w:rsid w:val="00971989"/>
    <w:rsid w:val="00972756"/>
    <w:rsid w:val="009767B4"/>
    <w:rsid w:val="009771F2"/>
    <w:rsid w:val="00981786"/>
    <w:rsid w:val="0098264F"/>
    <w:rsid w:val="00982AD8"/>
    <w:rsid w:val="00982D76"/>
    <w:rsid w:val="00983356"/>
    <w:rsid w:val="009837C1"/>
    <w:rsid w:val="00984913"/>
    <w:rsid w:val="00984968"/>
    <w:rsid w:val="00984D2A"/>
    <w:rsid w:val="00985B2D"/>
    <w:rsid w:val="00986205"/>
    <w:rsid w:val="0098668E"/>
    <w:rsid w:val="009868C1"/>
    <w:rsid w:val="009870DE"/>
    <w:rsid w:val="00992A42"/>
    <w:rsid w:val="009936BA"/>
    <w:rsid w:val="00993992"/>
    <w:rsid w:val="00995145"/>
    <w:rsid w:val="00995C72"/>
    <w:rsid w:val="009962A0"/>
    <w:rsid w:val="00996C3A"/>
    <w:rsid w:val="00997171"/>
    <w:rsid w:val="00997766"/>
    <w:rsid w:val="00997C40"/>
    <w:rsid w:val="009A0845"/>
    <w:rsid w:val="009A0C32"/>
    <w:rsid w:val="009A1011"/>
    <w:rsid w:val="009A141D"/>
    <w:rsid w:val="009A23B6"/>
    <w:rsid w:val="009A3B74"/>
    <w:rsid w:val="009A3DF2"/>
    <w:rsid w:val="009A4150"/>
    <w:rsid w:val="009A466F"/>
    <w:rsid w:val="009A5364"/>
    <w:rsid w:val="009A5F31"/>
    <w:rsid w:val="009A627C"/>
    <w:rsid w:val="009A69D9"/>
    <w:rsid w:val="009B1872"/>
    <w:rsid w:val="009B3092"/>
    <w:rsid w:val="009B3BF7"/>
    <w:rsid w:val="009B50FF"/>
    <w:rsid w:val="009B5147"/>
    <w:rsid w:val="009B5A06"/>
    <w:rsid w:val="009B634B"/>
    <w:rsid w:val="009B7AB0"/>
    <w:rsid w:val="009C0721"/>
    <w:rsid w:val="009C082B"/>
    <w:rsid w:val="009C164A"/>
    <w:rsid w:val="009C298E"/>
    <w:rsid w:val="009C2CEE"/>
    <w:rsid w:val="009C2FC2"/>
    <w:rsid w:val="009C32D7"/>
    <w:rsid w:val="009C35EC"/>
    <w:rsid w:val="009C422E"/>
    <w:rsid w:val="009C7D41"/>
    <w:rsid w:val="009C7DF2"/>
    <w:rsid w:val="009D0E7E"/>
    <w:rsid w:val="009D22B9"/>
    <w:rsid w:val="009D5491"/>
    <w:rsid w:val="009D5ED8"/>
    <w:rsid w:val="009D657A"/>
    <w:rsid w:val="009D6AFF"/>
    <w:rsid w:val="009D6E9B"/>
    <w:rsid w:val="009D7F24"/>
    <w:rsid w:val="009E18E9"/>
    <w:rsid w:val="009E1B8B"/>
    <w:rsid w:val="009E3C16"/>
    <w:rsid w:val="009E50E9"/>
    <w:rsid w:val="009E518A"/>
    <w:rsid w:val="009E547A"/>
    <w:rsid w:val="009E6242"/>
    <w:rsid w:val="009E73B2"/>
    <w:rsid w:val="009F2A20"/>
    <w:rsid w:val="009F3C32"/>
    <w:rsid w:val="009F50B4"/>
    <w:rsid w:val="009F76BF"/>
    <w:rsid w:val="009F7739"/>
    <w:rsid w:val="009F7BF0"/>
    <w:rsid w:val="009F7CC4"/>
    <w:rsid w:val="00A00720"/>
    <w:rsid w:val="00A01367"/>
    <w:rsid w:val="00A04D29"/>
    <w:rsid w:val="00A04EA4"/>
    <w:rsid w:val="00A051DB"/>
    <w:rsid w:val="00A07292"/>
    <w:rsid w:val="00A0736F"/>
    <w:rsid w:val="00A113C0"/>
    <w:rsid w:val="00A115C1"/>
    <w:rsid w:val="00A11B08"/>
    <w:rsid w:val="00A11EFF"/>
    <w:rsid w:val="00A12613"/>
    <w:rsid w:val="00A135E4"/>
    <w:rsid w:val="00A13826"/>
    <w:rsid w:val="00A13B14"/>
    <w:rsid w:val="00A14EEC"/>
    <w:rsid w:val="00A15AE4"/>
    <w:rsid w:val="00A163CF"/>
    <w:rsid w:val="00A20233"/>
    <w:rsid w:val="00A205D7"/>
    <w:rsid w:val="00A20C30"/>
    <w:rsid w:val="00A21F35"/>
    <w:rsid w:val="00A2331D"/>
    <w:rsid w:val="00A26423"/>
    <w:rsid w:val="00A270A9"/>
    <w:rsid w:val="00A27548"/>
    <w:rsid w:val="00A27839"/>
    <w:rsid w:val="00A27CF5"/>
    <w:rsid w:val="00A27E31"/>
    <w:rsid w:val="00A304F2"/>
    <w:rsid w:val="00A319AB"/>
    <w:rsid w:val="00A31A8A"/>
    <w:rsid w:val="00A324B2"/>
    <w:rsid w:val="00A32738"/>
    <w:rsid w:val="00A32AE4"/>
    <w:rsid w:val="00A3345D"/>
    <w:rsid w:val="00A33AB5"/>
    <w:rsid w:val="00A33E23"/>
    <w:rsid w:val="00A33FA8"/>
    <w:rsid w:val="00A34553"/>
    <w:rsid w:val="00A35F83"/>
    <w:rsid w:val="00A400CB"/>
    <w:rsid w:val="00A40D75"/>
    <w:rsid w:val="00A410C4"/>
    <w:rsid w:val="00A42388"/>
    <w:rsid w:val="00A457F8"/>
    <w:rsid w:val="00A46445"/>
    <w:rsid w:val="00A46EB8"/>
    <w:rsid w:val="00A50362"/>
    <w:rsid w:val="00A51C56"/>
    <w:rsid w:val="00A5280C"/>
    <w:rsid w:val="00A5386F"/>
    <w:rsid w:val="00A54EC8"/>
    <w:rsid w:val="00A56573"/>
    <w:rsid w:val="00A56D58"/>
    <w:rsid w:val="00A573DB"/>
    <w:rsid w:val="00A5745B"/>
    <w:rsid w:val="00A57713"/>
    <w:rsid w:val="00A57931"/>
    <w:rsid w:val="00A5794B"/>
    <w:rsid w:val="00A6048C"/>
    <w:rsid w:val="00A62D88"/>
    <w:rsid w:val="00A632EE"/>
    <w:rsid w:val="00A640B3"/>
    <w:rsid w:val="00A644E2"/>
    <w:rsid w:val="00A659FD"/>
    <w:rsid w:val="00A65B5F"/>
    <w:rsid w:val="00A65E00"/>
    <w:rsid w:val="00A66536"/>
    <w:rsid w:val="00A708B3"/>
    <w:rsid w:val="00A708E8"/>
    <w:rsid w:val="00A714C7"/>
    <w:rsid w:val="00A7452C"/>
    <w:rsid w:val="00A74661"/>
    <w:rsid w:val="00A74A25"/>
    <w:rsid w:val="00A74A6A"/>
    <w:rsid w:val="00A74E9D"/>
    <w:rsid w:val="00A75A9E"/>
    <w:rsid w:val="00A76830"/>
    <w:rsid w:val="00A7757B"/>
    <w:rsid w:val="00A77F55"/>
    <w:rsid w:val="00A8508D"/>
    <w:rsid w:val="00A861B0"/>
    <w:rsid w:val="00A862F8"/>
    <w:rsid w:val="00A87AD2"/>
    <w:rsid w:val="00A87B04"/>
    <w:rsid w:val="00A87FC3"/>
    <w:rsid w:val="00A9051A"/>
    <w:rsid w:val="00A92CA6"/>
    <w:rsid w:val="00A952B3"/>
    <w:rsid w:val="00A95699"/>
    <w:rsid w:val="00A957C1"/>
    <w:rsid w:val="00A96440"/>
    <w:rsid w:val="00A97F5D"/>
    <w:rsid w:val="00AA08A4"/>
    <w:rsid w:val="00AA11D0"/>
    <w:rsid w:val="00AA1A77"/>
    <w:rsid w:val="00AA3EC7"/>
    <w:rsid w:val="00AA42AD"/>
    <w:rsid w:val="00AA538B"/>
    <w:rsid w:val="00AA5A0B"/>
    <w:rsid w:val="00AA5D53"/>
    <w:rsid w:val="00AA6329"/>
    <w:rsid w:val="00AB1533"/>
    <w:rsid w:val="00AB28F9"/>
    <w:rsid w:val="00AB2BAC"/>
    <w:rsid w:val="00AB3147"/>
    <w:rsid w:val="00AB4C8F"/>
    <w:rsid w:val="00AB6524"/>
    <w:rsid w:val="00AB6E8D"/>
    <w:rsid w:val="00AB7114"/>
    <w:rsid w:val="00AC0D4E"/>
    <w:rsid w:val="00AC1BA3"/>
    <w:rsid w:val="00AC216C"/>
    <w:rsid w:val="00AC3E95"/>
    <w:rsid w:val="00AC4D4C"/>
    <w:rsid w:val="00AC5E47"/>
    <w:rsid w:val="00AC677F"/>
    <w:rsid w:val="00AC77A8"/>
    <w:rsid w:val="00AD04F7"/>
    <w:rsid w:val="00AD1945"/>
    <w:rsid w:val="00AD2188"/>
    <w:rsid w:val="00AD259D"/>
    <w:rsid w:val="00AD55F7"/>
    <w:rsid w:val="00AD6524"/>
    <w:rsid w:val="00AD6C0C"/>
    <w:rsid w:val="00AD6CDD"/>
    <w:rsid w:val="00AD7196"/>
    <w:rsid w:val="00AD7231"/>
    <w:rsid w:val="00AE15B5"/>
    <w:rsid w:val="00AE17A2"/>
    <w:rsid w:val="00AE1B8F"/>
    <w:rsid w:val="00AE2552"/>
    <w:rsid w:val="00AE3513"/>
    <w:rsid w:val="00AE3FB3"/>
    <w:rsid w:val="00AE4F85"/>
    <w:rsid w:val="00AE5AE3"/>
    <w:rsid w:val="00AE5BA6"/>
    <w:rsid w:val="00AE67E7"/>
    <w:rsid w:val="00AE69B8"/>
    <w:rsid w:val="00AE6D54"/>
    <w:rsid w:val="00AE761C"/>
    <w:rsid w:val="00AE7DE7"/>
    <w:rsid w:val="00AF1706"/>
    <w:rsid w:val="00AF187E"/>
    <w:rsid w:val="00AF271D"/>
    <w:rsid w:val="00AF285A"/>
    <w:rsid w:val="00AF39CA"/>
    <w:rsid w:val="00AF40BE"/>
    <w:rsid w:val="00AF4504"/>
    <w:rsid w:val="00AF45D4"/>
    <w:rsid w:val="00AF49DF"/>
    <w:rsid w:val="00AF5A3C"/>
    <w:rsid w:val="00B0056C"/>
    <w:rsid w:val="00B0131D"/>
    <w:rsid w:val="00B013E7"/>
    <w:rsid w:val="00B01F9C"/>
    <w:rsid w:val="00B02F7F"/>
    <w:rsid w:val="00B03045"/>
    <w:rsid w:val="00B0411C"/>
    <w:rsid w:val="00B04758"/>
    <w:rsid w:val="00B052B5"/>
    <w:rsid w:val="00B063E5"/>
    <w:rsid w:val="00B06FBC"/>
    <w:rsid w:val="00B1181D"/>
    <w:rsid w:val="00B1308A"/>
    <w:rsid w:val="00B13164"/>
    <w:rsid w:val="00B13775"/>
    <w:rsid w:val="00B15A79"/>
    <w:rsid w:val="00B16A4F"/>
    <w:rsid w:val="00B16B42"/>
    <w:rsid w:val="00B17A24"/>
    <w:rsid w:val="00B17D04"/>
    <w:rsid w:val="00B205CA"/>
    <w:rsid w:val="00B20E95"/>
    <w:rsid w:val="00B21294"/>
    <w:rsid w:val="00B21756"/>
    <w:rsid w:val="00B22607"/>
    <w:rsid w:val="00B23DB6"/>
    <w:rsid w:val="00B24D93"/>
    <w:rsid w:val="00B27F4C"/>
    <w:rsid w:val="00B27F59"/>
    <w:rsid w:val="00B30CA2"/>
    <w:rsid w:val="00B310C3"/>
    <w:rsid w:val="00B311CA"/>
    <w:rsid w:val="00B32AC2"/>
    <w:rsid w:val="00B32BDA"/>
    <w:rsid w:val="00B34124"/>
    <w:rsid w:val="00B34307"/>
    <w:rsid w:val="00B35189"/>
    <w:rsid w:val="00B40178"/>
    <w:rsid w:val="00B404B2"/>
    <w:rsid w:val="00B41399"/>
    <w:rsid w:val="00B41748"/>
    <w:rsid w:val="00B41E18"/>
    <w:rsid w:val="00B43D60"/>
    <w:rsid w:val="00B446AB"/>
    <w:rsid w:val="00B4472F"/>
    <w:rsid w:val="00B44D6B"/>
    <w:rsid w:val="00B46A50"/>
    <w:rsid w:val="00B46D14"/>
    <w:rsid w:val="00B471F3"/>
    <w:rsid w:val="00B479C1"/>
    <w:rsid w:val="00B51AD5"/>
    <w:rsid w:val="00B51E48"/>
    <w:rsid w:val="00B53E85"/>
    <w:rsid w:val="00B5419B"/>
    <w:rsid w:val="00B545E7"/>
    <w:rsid w:val="00B54614"/>
    <w:rsid w:val="00B551B6"/>
    <w:rsid w:val="00B5527E"/>
    <w:rsid w:val="00B56194"/>
    <w:rsid w:val="00B5681B"/>
    <w:rsid w:val="00B56D99"/>
    <w:rsid w:val="00B56DF0"/>
    <w:rsid w:val="00B600B8"/>
    <w:rsid w:val="00B60623"/>
    <w:rsid w:val="00B611D4"/>
    <w:rsid w:val="00B6263A"/>
    <w:rsid w:val="00B63130"/>
    <w:rsid w:val="00B63689"/>
    <w:rsid w:val="00B641C8"/>
    <w:rsid w:val="00B64395"/>
    <w:rsid w:val="00B65428"/>
    <w:rsid w:val="00B65D24"/>
    <w:rsid w:val="00B661AD"/>
    <w:rsid w:val="00B662FB"/>
    <w:rsid w:val="00B66775"/>
    <w:rsid w:val="00B67E30"/>
    <w:rsid w:val="00B67F94"/>
    <w:rsid w:val="00B71EED"/>
    <w:rsid w:val="00B74D54"/>
    <w:rsid w:val="00B762F9"/>
    <w:rsid w:val="00B76A50"/>
    <w:rsid w:val="00B76BF3"/>
    <w:rsid w:val="00B76D93"/>
    <w:rsid w:val="00B77237"/>
    <w:rsid w:val="00B77C5F"/>
    <w:rsid w:val="00B80CAA"/>
    <w:rsid w:val="00B81107"/>
    <w:rsid w:val="00B81293"/>
    <w:rsid w:val="00B8445E"/>
    <w:rsid w:val="00B9182B"/>
    <w:rsid w:val="00B9220D"/>
    <w:rsid w:val="00B92618"/>
    <w:rsid w:val="00B92966"/>
    <w:rsid w:val="00B92BBD"/>
    <w:rsid w:val="00B93714"/>
    <w:rsid w:val="00B945D6"/>
    <w:rsid w:val="00B95E62"/>
    <w:rsid w:val="00B969FE"/>
    <w:rsid w:val="00B96BB8"/>
    <w:rsid w:val="00BA252A"/>
    <w:rsid w:val="00BA276D"/>
    <w:rsid w:val="00BA37CE"/>
    <w:rsid w:val="00BA4927"/>
    <w:rsid w:val="00BA5520"/>
    <w:rsid w:val="00BA74A0"/>
    <w:rsid w:val="00BA789B"/>
    <w:rsid w:val="00BA7DC3"/>
    <w:rsid w:val="00BB1626"/>
    <w:rsid w:val="00BB381C"/>
    <w:rsid w:val="00BB4415"/>
    <w:rsid w:val="00BB6751"/>
    <w:rsid w:val="00BC349D"/>
    <w:rsid w:val="00BC34A8"/>
    <w:rsid w:val="00BC3D78"/>
    <w:rsid w:val="00BC4504"/>
    <w:rsid w:val="00BC5E05"/>
    <w:rsid w:val="00BC60C2"/>
    <w:rsid w:val="00BC67D8"/>
    <w:rsid w:val="00BC71A3"/>
    <w:rsid w:val="00BC77A1"/>
    <w:rsid w:val="00BC7DEC"/>
    <w:rsid w:val="00BD03F4"/>
    <w:rsid w:val="00BD050A"/>
    <w:rsid w:val="00BD2678"/>
    <w:rsid w:val="00BD29B6"/>
    <w:rsid w:val="00BD2D69"/>
    <w:rsid w:val="00BD3E00"/>
    <w:rsid w:val="00BD48B8"/>
    <w:rsid w:val="00BD4B8A"/>
    <w:rsid w:val="00BD5372"/>
    <w:rsid w:val="00BD5E0F"/>
    <w:rsid w:val="00BD65AD"/>
    <w:rsid w:val="00BD6AC5"/>
    <w:rsid w:val="00BD70A3"/>
    <w:rsid w:val="00BD7DB8"/>
    <w:rsid w:val="00BE1742"/>
    <w:rsid w:val="00BE20B3"/>
    <w:rsid w:val="00BE30CB"/>
    <w:rsid w:val="00BE3638"/>
    <w:rsid w:val="00BE45BB"/>
    <w:rsid w:val="00BE5C13"/>
    <w:rsid w:val="00BE5C29"/>
    <w:rsid w:val="00BE6414"/>
    <w:rsid w:val="00BE6C35"/>
    <w:rsid w:val="00BF0C3B"/>
    <w:rsid w:val="00BF0E54"/>
    <w:rsid w:val="00BF1CBC"/>
    <w:rsid w:val="00BF2D45"/>
    <w:rsid w:val="00BF3C70"/>
    <w:rsid w:val="00BF46E7"/>
    <w:rsid w:val="00BF4A92"/>
    <w:rsid w:val="00BF4CA1"/>
    <w:rsid w:val="00BF4D50"/>
    <w:rsid w:val="00BF4E4B"/>
    <w:rsid w:val="00BF50F1"/>
    <w:rsid w:val="00BF602B"/>
    <w:rsid w:val="00BF656D"/>
    <w:rsid w:val="00BF6D62"/>
    <w:rsid w:val="00BF725A"/>
    <w:rsid w:val="00BF7403"/>
    <w:rsid w:val="00C00527"/>
    <w:rsid w:val="00C00AA1"/>
    <w:rsid w:val="00C016B5"/>
    <w:rsid w:val="00C01C7F"/>
    <w:rsid w:val="00C02AD9"/>
    <w:rsid w:val="00C03529"/>
    <w:rsid w:val="00C05244"/>
    <w:rsid w:val="00C07517"/>
    <w:rsid w:val="00C07D99"/>
    <w:rsid w:val="00C116C3"/>
    <w:rsid w:val="00C12CA8"/>
    <w:rsid w:val="00C12DBC"/>
    <w:rsid w:val="00C133B0"/>
    <w:rsid w:val="00C137E9"/>
    <w:rsid w:val="00C13DBF"/>
    <w:rsid w:val="00C16444"/>
    <w:rsid w:val="00C2020F"/>
    <w:rsid w:val="00C211A6"/>
    <w:rsid w:val="00C21556"/>
    <w:rsid w:val="00C21E09"/>
    <w:rsid w:val="00C22E8B"/>
    <w:rsid w:val="00C236F9"/>
    <w:rsid w:val="00C2430A"/>
    <w:rsid w:val="00C26260"/>
    <w:rsid w:val="00C26D55"/>
    <w:rsid w:val="00C30988"/>
    <w:rsid w:val="00C3241D"/>
    <w:rsid w:val="00C33AC3"/>
    <w:rsid w:val="00C3415E"/>
    <w:rsid w:val="00C34252"/>
    <w:rsid w:val="00C355ED"/>
    <w:rsid w:val="00C36368"/>
    <w:rsid w:val="00C3671F"/>
    <w:rsid w:val="00C3675E"/>
    <w:rsid w:val="00C4005A"/>
    <w:rsid w:val="00C4014F"/>
    <w:rsid w:val="00C40C93"/>
    <w:rsid w:val="00C40F59"/>
    <w:rsid w:val="00C4183E"/>
    <w:rsid w:val="00C41FC0"/>
    <w:rsid w:val="00C45C09"/>
    <w:rsid w:val="00C469C1"/>
    <w:rsid w:val="00C47C12"/>
    <w:rsid w:val="00C5242E"/>
    <w:rsid w:val="00C52B1A"/>
    <w:rsid w:val="00C52FC3"/>
    <w:rsid w:val="00C538DB"/>
    <w:rsid w:val="00C54D50"/>
    <w:rsid w:val="00C552B0"/>
    <w:rsid w:val="00C563FB"/>
    <w:rsid w:val="00C573A3"/>
    <w:rsid w:val="00C610F0"/>
    <w:rsid w:val="00C62262"/>
    <w:rsid w:val="00C62A72"/>
    <w:rsid w:val="00C63613"/>
    <w:rsid w:val="00C63CF0"/>
    <w:rsid w:val="00C63D5B"/>
    <w:rsid w:val="00C64C93"/>
    <w:rsid w:val="00C65529"/>
    <w:rsid w:val="00C65557"/>
    <w:rsid w:val="00C65F31"/>
    <w:rsid w:val="00C66047"/>
    <w:rsid w:val="00C67122"/>
    <w:rsid w:val="00C676C5"/>
    <w:rsid w:val="00C7058B"/>
    <w:rsid w:val="00C70DF9"/>
    <w:rsid w:val="00C7329D"/>
    <w:rsid w:val="00C75CC8"/>
    <w:rsid w:val="00C8018F"/>
    <w:rsid w:val="00C80474"/>
    <w:rsid w:val="00C828DC"/>
    <w:rsid w:val="00C83358"/>
    <w:rsid w:val="00C833A8"/>
    <w:rsid w:val="00C84120"/>
    <w:rsid w:val="00C85651"/>
    <w:rsid w:val="00C856F1"/>
    <w:rsid w:val="00C860EF"/>
    <w:rsid w:val="00C865DF"/>
    <w:rsid w:val="00C867DE"/>
    <w:rsid w:val="00C878CF"/>
    <w:rsid w:val="00C87CEF"/>
    <w:rsid w:val="00C90DFE"/>
    <w:rsid w:val="00C90F0B"/>
    <w:rsid w:val="00C9147C"/>
    <w:rsid w:val="00C91EDD"/>
    <w:rsid w:val="00C934AF"/>
    <w:rsid w:val="00C94A17"/>
    <w:rsid w:val="00C94BCF"/>
    <w:rsid w:val="00C9576B"/>
    <w:rsid w:val="00C9645F"/>
    <w:rsid w:val="00C96F75"/>
    <w:rsid w:val="00C97925"/>
    <w:rsid w:val="00CA21B7"/>
    <w:rsid w:val="00CA25B9"/>
    <w:rsid w:val="00CA6FEB"/>
    <w:rsid w:val="00CA75AE"/>
    <w:rsid w:val="00CA785C"/>
    <w:rsid w:val="00CB05FF"/>
    <w:rsid w:val="00CB11E8"/>
    <w:rsid w:val="00CB152D"/>
    <w:rsid w:val="00CB196E"/>
    <w:rsid w:val="00CB1DF9"/>
    <w:rsid w:val="00CB3B03"/>
    <w:rsid w:val="00CB50A3"/>
    <w:rsid w:val="00CB6703"/>
    <w:rsid w:val="00CB6D19"/>
    <w:rsid w:val="00CB7289"/>
    <w:rsid w:val="00CB7584"/>
    <w:rsid w:val="00CC00D6"/>
    <w:rsid w:val="00CC02C0"/>
    <w:rsid w:val="00CC10E9"/>
    <w:rsid w:val="00CC2B42"/>
    <w:rsid w:val="00CC51B0"/>
    <w:rsid w:val="00CC565D"/>
    <w:rsid w:val="00CC56BE"/>
    <w:rsid w:val="00CD03AF"/>
    <w:rsid w:val="00CD11E4"/>
    <w:rsid w:val="00CD4036"/>
    <w:rsid w:val="00CD4340"/>
    <w:rsid w:val="00CD46D6"/>
    <w:rsid w:val="00CD4BF0"/>
    <w:rsid w:val="00CD4E78"/>
    <w:rsid w:val="00CD52D7"/>
    <w:rsid w:val="00CD65B9"/>
    <w:rsid w:val="00CD66CB"/>
    <w:rsid w:val="00CD6EF5"/>
    <w:rsid w:val="00CE2AF2"/>
    <w:rsid w:val="00CE2DDA"/>
    <w:rsid w:val="00CE3BDF"/>
    <w:rsid w:val="00CE408A"/>
    <w:rsid w:val="00CE41FA"/>
    <w:rsid w:val="00CE42D6"/>
    <w:rsid w:val="00CE7CA7"/>
    <w:rsid w:val="00CE7F98"/>
    <w:rsid w:val="00CF026C"/>
    <w:rsid w:val="00CF06B0"/>
    <w:rsid w:val="00CF1E89"/>
    <w:rsid w:val="00CF219C"/>
    <w:rsid w:val="00CF315A"/>
    <w:rsid w:val="00CF3207"/>
    <w:rsid w:val="00CF38E5"/>
    <w:rsid w:val="00CF41C6"/>
    <w:rsid w:val="00CF4B7B"/>
    <w:rsid w:val="00CF4D8E"/>
    <w:rsid w:val="00CF50E5"/>
    <w:rsid w:val="00CF5F39"/>
    <w:rsid w:val="00CF74EE"/>
    <w:rsid w:val="00CF76FE"/>
    <w:rsid w:val="00D00DAA"/>
    <w:rsid w:val="00D01815"/>
    <w:rsid w:val="00D019DC"/>
    <w:rsid w:val="00D01C37"/>
    <w:rsid w:val="00D02AA6"/>
    <w:rsid w:val="00D03FA9"/>
    <w:rsid w:val="00D04C75"/>
    <w:rsid w:val="00D04C8E"/>
    <w:rsid w:val="00D04D7F"/>
    <w:rsid w:val="00D07C35"/>
    <w:rsid w:val="00D07EB4"/>
    <w:rsid w:val="00D07F15"/>
    <w:rsid w:val="00D10DA5"/>
    <w:rsid w:val="00D1196F"/>
    <w:rsid w:val="00D154C2"/>
    <w:rsid w:val="00D1593E"/>
    <w:rsid w:val="00D15BA8"/>
    <w:rsid w:val="00D170D3"/>
    <w:rsid w:val="00D1753C"/>
    <w:rsid w:val="00D179FF"/>
    <w:rsid w:val="00D20885"/>
    <w:rsid w:val="00D21145"/>
    <w:rsid w:val="00D2217B"/>
    <w:rsid w:val="00D22A69"/>
    <w:rsid w:val="00D22F1A"/>
    <w:rsid w:val="00D2342B"/>
    <w:rsid w:val="00D2350D"/>
    <w:rsid w:val="00D2548E"/>
    <w:rsid w:val="00D25746"/>
    <w:rsid w:val="00D2690A"/>
    <w:rsid w:val="00D26AD3"/>
    <w:rsid w:val="00D30109"/>
    <w:rsid w:val="00D302A1"/>
    <w:rsid w:val="00D302FA"/>
    <w:rsid w:val="00D3191B"/>
    <w:rsid w:val="00D31B11"/>
    <w:rsid w:val="00D320D2"/>
    <w:rsid w:val="00D32E9C"/>
    <w:rsid w:val="00D3332A"/>
    <w:rsid w:val="00D33491"/>
    <w:rsid w:val="00D346B1"/>
    <w:rsid w:val="00D35776"/>
    <w:rsid w:val="00D36134"/>
    <w:rsid w:val="00D36A70"/>
    <w:rsid w:val="00D37CDE"/>
    <w:rsid w:val="00D37F6E"/>
    <w:rsid w:val="00D37F7C"/>
    <w:rsid w:val="00D424E2"/>
    <w:rsid w:val="00D42646"/>
    <w:rsid w:val="00D44569"/>
    <w:rsid w:val="00D445AB"/>
    <w:rsid w:val="00D50CBB"/>
    <w:rsid w:val="00D517B8"/>
    <w:rsid w:val="00D51E7C"/>
    <w:rsid w:val="00D52BC1"/>
    <w:rsid w:val="00D538D2"/>
    <w:rsid w:val="00D53BE2"/>
    <w:rsid w:val="00D545C0"/>
    <w:rsid w:val="00D552D7"/>
    <w:rsid w:val="00D55477"/>
    <w:rsid w:val="00D55AD0"/>
    <w:rsid w:val="00D5634C"/>
    <w:rsid w:val="00D56CCD"/>
    <w:rsid w:val="00D575CD"/>
    <w:rsid w:val="00D6180C"/>
    <w:rsid w:val="00D61822"/>
    <w:rsid w:val="00D61D15"/>
    <w:rsid w:val="00D624C0"/>
    <w:rsid w:val="00D62F9E"/>
    <w:rsid w:val="00D653E2"/>
    <w:rsid w:val="00D656CD"/>
    <w:rsid w:val="00D6590D"/>
    <w:rsid w:val="00D65B8A"/>
    <w:rsid w:val="00D6602A"/>
    <w:rsid w:val="00D675CB"/>
    <w:rsid w:val="00D70873"/>
    <w:rsid w:val="00D70F0A"/>
    <w:rsid w:val="00D71139"/>
    <w:rsid w:val="00D71607"/>
    <w:rsid w:val="00D72385"/>
    <w:rsid w:val="00D728D5"/>
    <w:rsid w:val="00D72B27"/>
    <w:rsid w:val="00D73242"/>
    <w:rsid w:val="00D76507"/>
    <w:rsid w:val="00D767F0"/>
    <w:rsid w:val="00D76EEC"/>
    <w:rsid w:val="00D775C1"/>
    <w:rsid w:val="00D80FC3"/>
    <w:rsid w:val="00D8202A"/>
    <w:rsid w:val="00D828CA"/>
    <w:rsid w:val="00D828F5"/>
    <w:rsid w:val="00D83FD2"/>
    <w:rsid w:val="00D84A3D"/>
    <w:rsid w:val="00D8501D"/>
    <w:rsid w:val="00D85FC4"/>
    <w:rsid w:val="00D86E48"/>
    <w:rsid w:val="00D90AE2"/>
    <w:rsid w:val="00D90D8F"/>
    <w:rsid w:val="00D92AB9"/>
    <w:rsid w:val="00D92DA6"/>
    <w:rsid w:val="00D93219"/>
    <w:rsid w:val="00D93470"/>
    <w:rsid w:val="00D97121"/>
    <w:rsid w:val="00DA193A"/>
    <w:rsid w:val="00DA1EC4"/>
    <w:rsid w:val="00DA22B0"/>
    <w:rsid w:val="00DA2671"/>
    <w:rsid w:val="00DA2B43"/>
    <w:rsid w:val="00DA4AC8"/>
    <w:rsid w:val="00DA6DA3"/>
    <w:rsid w:val="00DB03C0"/>
    <w:rsid w:val="00DB0988"/>
    <w:rsid w:val="00DB111F"/>
    <w:rsid w:val="00DB132D"/>
    <w:rsid w:val="00DB30DE"/>
    <w:rsid w:val="00DB3D78"/>
    <w:rsid w:val="00DB44F2"/>
    <w:rsid w:val="00DB5ABA"/>
    <w:rsid w:val="00DB65BC"/>
    <w:rsid w:val="00DB7257"/>
    <w:rsid w:val="00DB7F10"/>
    <w:rsid w:val="00DB7FBA"/>
    <w:rsid w:val="00DC13C5"/>
    <w:rsid w:val="00DC1427"/>
    <w:rsid w:val="00DC14DE"/>
    <w:rsid w:val="00DC190C"/>
    <w:rsid w:val="00DC1BD6"/>
    <w:rsid w:val="00DC223F"/>
    <w:rsid w:val="00DC28D1"/>
    <w:rsid w:val="00DC2E5F"/>
    <w:rsid w:val="00DC348E"/>
    <w:rsid w:val="00DC40FE"/>
    <w:rsid w:val="00DC4B35"/>
    <w:rsid w:val="00DC4FCD"/>
    <w:rsid w:val="00DC57C1"/>
    <w:rsid w:val="00DC732C"/>
    <w:rsid w:val="00DC7C33"/>
    <w:rsid w:val="00DD05D1"/>
    <w:rsid w:val="00DD0DD6"/>
    <w:rsid w:val="00DD10ED"/>
    <w:rsid w:val="00DD1D71"/>
    <w:rsid w:val="00DD21E0"/>
    <w:rsid w:val="00DD321B"/>
    <w:rsid w:val="00DD3C60"/>
    <w:rsid w:val="00DD41E0"/>
    <w:rsid w:val="00DD58DA"/>
    <w:rsid w:val="00DD6F5C"/>
    <w:rsid w:val="00DD725B"/>
    <w:rsid w:val="00DD7BC0"/>
    <w:rsid w:val="00DE0374"/>
    <w:rsid w:val="00DE1B9A"/>
    <w:rsid w:val="00DE2348"/>
    <w:rsid w:val="00DE3388"/>
    <w:rsid w:val="00DE6156"/>
    <w:rsid w:val="00DE6ABA"/>
    <w:rsid w:val="00DE6D1E"/>
    <w:rsid w:val="00DE7CC6"/>
    <w:rsid w:val="00DF18D6"/>
    <w:rsid w:val="00DF2556"/>
    <w:rsid w:val="00DF3AA3"/>
    <w:rsid w:val="00DF3E0C"/>
    <w:rsid w:val="00DF62A7"/>
    <w:rsid w:val="00DF781E"/>
    <w:rsid w:val="00DF7CCC"/>
    <w:rsid w:val="00E01AF5"/>
    <w:rsid w:val="00E01AFB"/>
    <w:rsid w:val="00E01C5C"/>
    <w:rsid w:val="00E0244F"/>
    <w:rsid w:val="00E02500"/>
    <w:rsid w:val="00E02C15"/>
    <w:rsid w:val="00E04920"/>
    <w:rsid w:val="00E05962"/>
    <w:rsid w:val="00E1104E"/>
    <w:rsid w:val="00E11281"/>
    <w:rsid w:val="00E124D0"/>
    <w:rsid w:val="00E12EFC"/>
    <w:rsid w:val="00E13E69"/>
    <w:rsid w:val="00E14CF9"/>
    <w:rsid w:val="00E1672F"/>
    <w:rsid w:val="00E17984"/>
    <w:rsid w:val="00E17E92"/>
    <w:rsid w:val="00E20540"/>
    <w:rsid w:val="00E208B0"/>
    <w:rsid w:val="00E20968"/>
    <w:rsid w:val="00E20F5E"/>
    <w:rsid w:val="00E22710"/>
    <w:rsid w:val="00E22B25"/>
    <w:rsid w:val="00E2427C"/>
    <w:rsid w:val="00E24B2D"/>
    <w:rsid w:val="00E25731"/>
    <w:rsid w:val="00E259C0"/>
    <w:rsid w:val="00E25E3E"/>
    <w:rsid w:val="00E27B27"/>
    <w:rsid w:val="00E305DA"/>
    <w:rsid w:val="00E309D4"/>
    <w:rsid w:val="00E30F69"/>
    <w:rsid w:val="00E314E1"/>
    <w:rsid w:val="00E3177D"/>
    <w:rsid w:val="00E350F0"/>
    <w:rsid w:val="00E35AB4"/>
    <w:rsid w:val="00E363DB"/>
    <w:rsid w:val="00E3748D"/>
    <w:rsid w:val="00E37670"/>
    <w:rsid w:val="00E406E2"/>
    <w:rsid w:val="00E407D9"/>
    <w:rsid w:val="00E43EDC"/>
    <w:rsid w:val="00E440B1"/>
    <w:rsid w:val="00E44A55"/>
    <w:rsid w:val="00E44EC6"/>
    <w:rsid w:val="00E45937"/>
    <w:rsid w:val="00E45D4E"/>
    <w:rsid w:val="00E4759E"/>
    <w:rsid w:val="00E47F04"/>
    <w:rsid w:val="00E53011"/>
    <w:rsid w:val="00E53849"/>
    <w:rsid w:val="00E53B21"/>
    <w:rsid w:val="00E53DCF"/>
    <w:rsid w:val="00E5444E"/>
    <w:rsid w:val="00E54C51"/>
    <w:rsid w:val="00E55A34"/>
    <w:rsid w:val="00E5708D"/>
    <w:rsid w:val="00E601ED"/>
    <w:rsid w:val="00E60A07"/>
    <w:rsid w:val="00E61F14"/>
    <w:rsid w:val="00E624DA"/>
    <w:rsid w:val="00E6361F"/>
    <w:rsid w:val="00E64984"/>
    <w:rsid w:val="00E64A8D"/>
    <w:rsid w:val="00E65B04"/>
    <w:rsid w:val="00E65C2D"/>
    <w:rsid w:val="00E66798"/>
    <w:rsid w:val="00E66C03"/>
    <w:rsid w:val="00E67F0C"/>
    <w:rsid w:val="00E70384"/>
    <w:rsid w:val="00E71D8A"/>
    <w:rsid w:val="00E72072"/>
    <w:rsid w:val="00E724C8"/>
    <w:rsid w:val="00E72D9B"/>
    <w:rsid w:val="00E72F96"/>
    <w:rsid w:val="00E73210"/>
    <w:rsid w:val="00E73DF8"/>
    <w:rsid w:val="00E75912"/>
    <w:rsid w:val="00E7650C"/>
    <w:rsid w:val="00E771C7"/>
    <w:rsid w:val="00E8031A"/>
    <w:rsid w:val="00E813A4"/>
    <w:rsid w:val="00E814CF"/>
    <w:rsid w:val="00E81725"/>
    <w:rsid w:val="00E82053"/>
    <w:rsid w:val="00E82164"/>
    <w:rsid w:val="00E829CD"/>
    <w:rsid w:val="00E82FF1"/>
    <w:rsid w:val="00E84A48"/>
    <w:rsid w:val="00E86C19"/>
    <w:rsid w:val="00E86DC7"/>
    <w:rsid w:val="00E86F36"/>
    <w:rsid w:val="00E90C11"/>
    <w:rsid w:val="00E92122"/>
    <w:rsid w:val="00E92792"/>
    <w:rsid w:val="00E9328A"/>
    <w:rsid w:val="00E94A8B"/>
    <w:rsid w:val="00E9675C"/>
    <w:rsid w:val="00E97672"/>
    <w:rsid w:val="00E977D4"/>
    <w:rsid w:val="00EA1056"/>
    <w:rsid w:val="00EA21A0"/>
    <w:rsid w:val="00EA23DF"/>
    <w:rsid w:val="00EA2A3B"/>
    <w:rsid w:val="00EA2EC6"/>
    <w:rsid w:val="00EA30A7"/>
    <w:rsid w:val="00EA4721"/>
    <w:rsid w:val="00EA56D6"/>
    <w:rsid w:val="00EA5CB4"/>
    <w:rsid w:val="00EA68AD"/>
    <w:rsid w:val="00EA6F50"/>
    <w:rsid w:val="00EA7D99"/>
    <w:rsid w:val="00EB0287"/>
    <w:rsid w:val="00EB3E4D"/>
    <w:rsid w:val="00EB54D7"/>
    <w:rsid w:val="00EB5F51"/>
    <w:rsid w:val="00EB63EA"/>
    <w:rsid w:val="00EB6C8D"/>
    <w:rsid w:val="00EC00F0"/>
    <w:rsid w:val="00EC081F"/>
    <w:rsid w:val="00EC2763"/>
    <w:rsid w:val="00EC2AB2"/>
    <w:rsid w:val="00EC2D49"/>
    <w:rsid w:val="00EC509A"/>
    <w:rsid w:val="00EC54B5"/>
    <w:rsid w:val="00EC7E97"/>
    <w:rsid w:val="00ED05DA"/>
    <w:rsid w:val="00ED07AF"/>
    <w:rsid w:val="00ED0D59"/>
    <w:rsid w:val="00ED2769"/>
    <w:rsid w:val="00ED3590"/>
    <w:rsid w:val="00ED55D2"/>
    <w:rsid w:val="00ED61F6"/>
    <w:rsid w:val="00ED7FFC"/>
    <w:rsid w:val="00EE0615"/>
    <w:rsid w:val="00EE192E"/>
    <w:rsid w:val="00EE1F13"/>
    <w:rsid w:val="00EE230F"/>
    <w:rsid w:val="00EE2A12"/>
    <w:rsid w:val="00EE2EA0"/>
    <w:rsid w:val="00EE3C87"/>
    <w:rsid w:val="00EE4A21"/>
    <w:rsid w:val="00EE4BA3"/>
    <w:rsid w:val="00EE5275"/>
    <w:rsid w:val="00EE62E8"/>
    <w:rsid w:val="00EE7E4C"/>
    <w:rsid w:val="00EF0091"/>
    <w:rsid w:val="00EF213D"/>
    <w:rsid w:val="00EF3070"/>
    <w:rsid w:val="00EF3099"/>
    <w:rsid w:val="00EF3312"/>
    <w:rsid w:val="00EF38CD"/>
    <w:rsid w:val="00EF3D02"/>
    <w:rsid w:val="00EF4FC5"/>
    <w:rsid w:val="00EF624E"/>
    <w:rsid w:val="00EF63C7"/>
    <w:rsid w:val="00EF7D97"/>
    <w:rsid w:val="00F015BA"/>
    <w:rsid w:val="00F02BD4"/>
    <w:rsid w:val="00F02C3F"/>
    <w:rsid w:val="00F04397"/>
    <w:rsid w:val="00F054FB"/>
    <w:rsid w:val="00F0568B"/>
    <w:rsid w:val="00F060F7"/>
    <w:rsid w:val="00F06B14"/>
    <w:rsid w:val="00F07E5A"/>
    <w:rsid w:val="00F120F1"/>
    <w:rsid w:val="00F12AFF"/>
    <w:rsid w:val="00F13573"/>
    <w:rsid w:val="00F141BD"/>
    <w:rsid w:val="00F142B6"/>
    <w:rsid w:val="00F14D78"/>
    <w:rsid w:val="00F14E54"/>
    <w:rsid w:val="00F15A06"/>
    <w:rsid w:val="00F17B07"/>
    <w:rsid w:val="00F2002B"/>
    <w:rsid w:val="00F22892"/>
    <w:rsid w:val="00F23970"/>
    <w:rsid w:val="00F23BBC"/>
    <w:rsid w:val="00F240D4"/>
    <w:rsid w:val="00F252DF"/>
    <w:rsid w:val="00F25CDD"/>
    <w:rsid w:val="00F261AD"/>
    <w:rsid w:val="00F26AFA"/>
    <w:rsid w:val="00F27855"/>
    <w:rsid w:val="00F27B4E"/>
    <w:rsid w:val="00F27CFD"/>
    <w:rsid w:val="00F310F9"/>
    <w:rsid w:val="00F31EFB"/>
    <w:rsid w:val="00F33110"/>
    <w:rsid w:val="00F34131"/>
    <w:rsid w:val="00F3578A"/>
    <w:rsid w:val="00F36541"/>
    <w:rsid w:val="00F37934"/>
    <w:rsid w:val="00F45401"/>
    <w:rsid w:val="00F45965"/>
    <w:rsid w:val="00F45ABD"/>
    <w:rsid w:val="00F46091"/>
    <w:rsid w:val="00F4677E"/>
    <w:rsid w:val="00F46BA3"/>
    <w:rsid w:val="00F47DD6"/>
    <w:rsid w:val="00F508E2"/>
    <w:rsid w:val="00F51BD8"/>
    <w:rsid w:val="00F5267C"/>
    <w:rsid w:val="00F5396E"/>
    <w:rsid w:val="00F540F5"/>
    <w:rsid w:val="00F542AA"/>
    <w:rsid w:val="00F5677C"/>
    <w:rsid w:val="00F574F9"/>
    <w:rsid w:val="00F60664"/>
    <w:rsid w:val="00F61812"/>
    <w:rsid w:val="00F61B3B"/>
    <w:rsid w:val="00F6229D"/>
    <w:rsid w:val="00F62350"/>
    <w:rsid w:val="00F62ABA"/>
    <w:rsid w:val="00F62F41"/>
    <w:rsid w:val="00F630F3"/>
    <w:rsid w:val="00F63CCB"/>
    <w:rsid w:val="00F63CE4"/>
    <w:rsid w:val="00F63D69"/>
    <w:rsid w:val="00F64777"/>
    <w:rsid w:val="00F64B08"/>
    <w:rsid w:val="00F66EEF"/>
    <w:rsid w:val="00F67ACF"/>
    <w:rsid w:val="00F703FD"/>
    <w:rsid w:val="00F70C58"/>
    <w:rsid w:val="00F70D03"/>
    <w:rsid w:val="00F73183"/>
    <w:rsid w:val="00F742E5"/>
    <w:rsid w:val="00F743BA"/>
    <w:rsid w:val="00F75872"/>
    <w:rsid w:val="00F75887"/>
    <w:rsid w:val="00F771D5"/>
    <w:rsid w:val="00F773F8"/>
    <w:rsid w:val="00F81A99"/>
    <w:rsid w:val="00F82012"/>
    <w:rsid w:val="00F8221F"/>
    <w:rsid w:val="00F8246C"/>
    <w:rsid w:val="00F82EAC"/>
    <w:rsid w:val="00F837DE"/>
    <w:rsid w:val="00F83DEA"/>
    <w:rsid w:val="00F84D2F"/>
    <w:rsid w:val="00F859B3"/>
    <w:rsid w:val="00F8693E"/>
    <w:rsid w:val="00F86A3F"/>
    <w:rsid w:val="00F876E8"/>
    <w:rsid w:val="00F90298"/>
    <w:rsid w:val="00F90548"/>
    <w:rsid w:val="00F92CCD"/>
    <w:rsid w:val="00F93188"/>
    <w:rsid w:val="00F9375B"/>
    <w:rsid w:val="00F95351"/>
    <w:rsid w:val="00F95C4F"/>
    <w:rsid w:val="00F9632C"/>
    <w:rsid w:val="00F97178"/>
    <w:rsid w:val="00F97A67"/>
    <w:rsid w:val="00F97AB0"/>
    <w:rsid w:val="00FA1067"/>
    <w:rsid w:val="00FA14BF"/>
    <w:rsid w:val="00FA1595"/>
    <w:rsid w:val="00FA1ABA"/>
    <w:rsid w:val="00FA1DFE"/>
    <w:rsid w:val="00FA21AB"/>
    <w:rsid w:val="00FA25C9"/>
    <w:rsid w:val="00FA27FF"/>
    <w:rsid w:val="00FA4F29"/>
    <w:rsid w:val="00FA63B8"/>
    <w:rsid w:val="00FA65B9"/>
    <w:rsid w:val="00FB0940"/>
    <w:rsid w:val="00FB2A01"/>
    <w:rsid w:val="00FB3334"/>
    <w:rsid w:val="00FB4FC0"/>
    <w:rsid w:val="00FB52BB"/>
    <w:rsid w:val="00FB5518"/>
    <w:rsid w:val="00FB598D"/>
    <w:rsid w:val="00FB6535"/>
    <w:rsid w:val="00FB6B57"/>
    <w:rsid w:val="00FB7619"/>
    <w:rsid w:val="00FC07CA"/>
    <w:rsid w:val="00FC159E"/>
    <w:rsid w:val="00FC3898"/>
    <w:rsid w:val="00FC4088"/>
    <w:rsid w:val="00FC4461"/>
    <w:rsid w:val="00FC5217"/>
    <w:rsid w:val="00FC5961"/>
    <w:rsid w:val="00FC5AD9"/>
    <w:rsid w:val="00FC61FD"/>
    <w:rsid w:val="00FD092E"/>
    <w:rsid w:val="00FD0BDF"/>
    <w:rsid w:val="00FD0FA2"/>
    <w:rsid w:val="00FD2032"/>
    <w:rsid w:val="00FD5105"/>
    <w:rsid w:val="00FD7427"/>
    <w:rsid w:val="00FE09B2"/>
    <w:rsid w:val="00FE1470"/>
    <w:rsid w:val="00FE29BF"/>
    <w:rsid w:val="00FE2A4D"/>
    <w:rsid w:val="00FE2CFD"/>
    <w:rsid w:val="00FE4785"/>
    <w:rsid w:val="00FE5227"/>
    <w:rsid w:val="00FE5774"/>
    <w:rsid w:val="00FE5918"/>
    <w:rsid w:val="00FE60E8"/>
    <w:rsid w:val="00FE7CD5"/>
    <w:rsid w:val="00FF0366"/>
    <w:rsid w:val="00FF0DDD"/>
    <w:rsid w:val="00FF0F90"/>
    <w:rsid w:val="00FF1F4E"/>
    <w:rsid w:val="00FF2D03"/>
    <w:rsid w:val="00FF2F76"/>
    <w:rsid w:val="00FF4D2D"/>
    <w:rsid w:val="00FF5374"/>
    <w:rsid w:val="00FF67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05A81B"/>
  <w15:docId w15:val="{A54FE9DA-FFD5-4E7C-B399-488DE20C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597"/>
    <w:rPr>
      <w:rFonts w:eastAsia="Times New Roman"/>
      <w:lang w:eastAsia="en-US"/>
    </w:rPr>
  </w:style>
  <w:style w:type="paragraph" w:styleId="Heading1">
    <w:name w:val="heading 1"/>
    <w:basedOn w:val="Normal"/>
    <w:next w:val="Heading2"/>
    <w:uiPriority w:val="9"/>
    <w:qFormat/>
    <w:rsid w:val="00766597"/>
    <w:pPr>
      <w:keepNext/>
      <w:numPr>
        <w:numId w:val="1"/>
      </w:numPr>
      <w:pBdr>
        <w:top w:val="single" w:sz="6" w:space="2" w:color="auto"/>
      </w:pBdr>
      <w:spacing w:before="240" w:after="120"/>
      <w:outlineLvl w:val="0"/>
    </w:pPr>
    <w:rPr>
      <w:b/>
      <w:sz w:val="28"/>
    </w:rPr>
  </w:style>
  <w:style w:type="paragraph" w:styleId="Heading2">
    <w:name w:val="heading 2"/>
    <w:basedOn w:val="Normal"/>
    <w:next w:val="Indent2"/>
    <w:qFormat/>
    <w:rsid w:val="00766597"/>
    <w:pPr>
      <w:keepNext/>
      <w:numPr>
        <w:ilvl w:val="1"/>
        <w:numId w:val="1"/>
      </w:numPr>
      <w:spacing w:before="120" w:after="120"/>
      <w:outlineLvl w:val="1"/>
    </w:pPr>
    <w:rPr>
      <w:b/>
      <w:sz w:val="22"/>
    </w:rPr>
  </w:style>
  <w:style w:type="paragraph" w:styleId="Heading3">
    <w:name w:val="heading 3"/>
    <w:basedOn w:val="Normal"/>
    <w:link w:val="Heading3Char"/>
    <w:uiPriority w:val="9"/>
    <w:qFormat/>
    <w:rsid w:val="00766597"/>
    <w:pPr>
      <w:numPr>
        <w:ilvl w:val="2"/>
        <w:numId w:val="1"/>
      </w:numPr>
      <w:spacing w:after="240"/>
      <w:outlineLvl w:val="2"/>
    </w:pPr>
  </w:style>
  <w:style w:type="paragraph" w:styleId="Heading4">
    <w:name w:val="heading 4"/>
    <w:basedOn w:val="Normal"/>
    <w:uiPriority w:val="9"/>
    <w:qFormat/>
    <w:rsid w:val="00766597"/>
    <w:pPr>
      <w:numPr>
        <w:ilvl w:val="3"/>
        <w:numId w:val="1"/>
      </w:numPr>
      <w:spacing w:after="240"/>
      <w:outlineLvl w:val="3"/>
    </w:pPr>
  </w:style>
  <w:style w:type="paragraph" w:styleId="Heading5">
    <w:name w:val="heading 5"/>
    <w:basedOn w:val="Normal"/>
    <w:uiPriority w:val="9"/>
    <w:qFormat/>
    <w:rsid w:val="00766597"/>
    <w:pPr>
      <w:numPr>
        <w:ilvl w:val="4"/>
        <w:numId w:val="1"/>
      </w:numPr>
      <w:spacing w:after="240"/>
      <w:outlineLvl w:val="4"/>
    </w:pPr>
  </w:style>
  <w:style w:type="paragraph" w:styleId="Heading6">
    <w:name w:val="heading 6"/>
    <w:basedOn w:val="Normal"/>
    <w:uiPriority w:val="9"/>
    <w:qFormat/>
    <w:rsid w:val="00766597"/>
    <w:pPr>
      <w:numPr>
        <w:ilvl w:val="5"/>
        <w:numId w:val="1"/>
      </w:numPr>
      <w:spacing w:after="240"/>
      <w:outlineLvl w:val="5"/>
    </w:pPr>
  </w:style>
  <w:style w:type="paragraph" w:styleId="Heading7">
    <w:name w:val="heading 7"/>
    <w:basedOn w:val="Normal"/>
    <w:link w:val="Heading7Char"/>
    <w:qFormat/>
    <w:rsid w:val="00766597"/>
    <w:pPr>
      <w:numPr>
        <w:ilvl w:val="6"/>
        <w:numId w:val="1"/>
      </w:numPr>
      <w:spacing w:after="240"/>
      <w:outlineLvl w:val="6"/>
    </w:pPr>
  </w:style>
  <w:style w:type="paragraph" w:styleId="Heading8">
    <w:name w:val="heading 8"/>
    <w:basedOn w:val="Normal"/>
    <w:link w:val="Heading8Char"/>
    <w:qFormat/>
    <w:rsid w:val="00766597"/>
    <w:pPr>
      <w:numPr>
        <w:ilvl w:val="7"/>
        <w:numId w:val="1"/>
      </w:numPr>
      <w:spacing w:after="240"/>
      <w:outlineLvl w:val="7"/>
    </w:pPr>
  </w:style>
  <w:style w:type="paragraph" w:styleId="Heading9">
    <w:name w:val="heading 9"/>
    <w:basedOn w:val="Normal"/>
    <w:link w:val="Heading9Char"/>
    <w:qFormat/>
    <w:rsid w:val="00766597"/>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66597"/>
    <w:pPr>
      <w:spacing w:before="240" w:after="60"/>
      <w:jc w:val="center"/>
      <w:outlineLvl w:val="0"/>
    </w:pPr>
    <w:rPr>
      <w:rFonts w:ascii="Cambria" w:eastAsia="SimSun" w:hAnsi="Cambria" w:cs="Times New Roman"/>
      <w:b/>
      <w:bCs/>
      <w:kern w:val="28"/>
      <w:sz w:val="32"/>
      <w:szCs w:val="32"/>
    </w:rPr>
  </w:style>
  <w:style w:type="paragraph" w:styleId="Subtitle">
    <w:name w:val="Subtitle"/>
    <w:basedOn w:val="Normal"/>
    <w:next w:val="Normal"/>
    <w:link w:val="SubtitleChar"/>
    <w:qFormat/>
    <w:rsid w:val="00766597"/>
    <w:pPr>
      <w:spacing w:after="60"/>
      <w:jc w:val="center"/>
      <w:outlineLvl w:val="1"/>
    </w:pPr>
    <w:rPr>
      <w:rFonts w:ascii="Cambria" w:eastAsia="SimSun" w:hAnsi="Cambria" w:cs="Times New Roman"/>
      <w:sz w:val="24"/>
      <w:szCs w:val="24"/>
    </w:rPr>
  </w:style>
  <w:style w:type="table" w:customStyle="1" w:styleId="a">
    <w:name w:val="a"/>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0">
    <w:name w:val="a0"/>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1">
    <w:name w:val="a1"/>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2">
    <w:name w:val="a2"/>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3">
    <w:name w:val="a3"/>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4">
    <w:name w:val="a4"/>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rsid w:val="00766597"/>
  </w:style>
  <w:style w:type="character" w:customStyle="1" w:styleId="CommentTextChar">
    <w:name w:val="Comment Text Char"/>
    <w:link w:val="CommentText"/>
    <w:rsid w:val="00766597"/>
    <w:rPr>
      <w:rFonts w:eastAsia="Times New Roman"/>
      <w:lang w:eastAsia="en-US"/>
    </w:rPr>
  </w:style>
  <w:style w:type="character" w:styleId="CommentReference">
    <w:name w:val="annotation reference"/>
    <w:uiPriority w:val="99"/>
    <w:rsid w:val="00766597"/>
    <w:rPr>
      <w:sz w:val="16"/>
      <w:szCs w:val="16"/>
    </w:rPr>
  </w:style>
  <w:style w:type="paragraph" w:styleId="BalloonText">
    <w:name w:val="Balloon Text"/>
    <w:basedOn w:val="Normal"/>
    <w:link w:val="BalloonTextChar"/>
    <w:rsid w:val="00766597"/>
    <w:rPr>
      <w:rFonts w:ascii="Tahoma" w:hAnsi="Tahoma" w:cs="Tahoma"/>
      <w:sz w:val="16"/>
      <w:szCs w:val="16"/>
    </w:rPr>
  </w:style>
  <w:style w:type="character" w:customStyle="1" w:styleId="BalloonTextChar">
    <w:name w:val="Balloon Text Char"/>
    <w:link w:val="BalloonText"/>
    <w:rsid w:val="00766597"/>
    <w:rPr>
      <w:rFonts w:ascii="Tahoma" w:eastAsia="Times New Roman" w:hAnsi="Tahoma" w:cs="Tahoma"/>
      <w:sz w:val="16"/>
      <w:szCs w:val="16"/>
      <w:lang w:eastAsia="en-US"/>
    </w:rPr>
  </w:style>
  <w:style w:type="paragraph" w:styleId="CommentSubject">
    <w:name w:val="annotation subject"/>
    <w:basedOn w:val="CommentText"/>
    <w:next w:val="CommentText"/>
    <w:link w:val="CommentSubjectChar"/>
    <w:rsid w:val="00766597"/>
    <w:rPr>
      <w:b/>
      <w:bCs/>
    </w:rPr>
  </w:style>
  <w:style w:type="character" w:customStyle="1" w:styleId="CommentSubjectChar">
    <w:name w:val="Comment Subject Char"/>
    <w:link w:val="CommentSubject"/>
    <w:rsid w:val="00766597"/>
    <w:rPr>
      <w:rFonts w:eastAsia="Times New Roman"/>
      <w:b/>
      <w:bCs/>
      <w:lang w:eastAsia="en-US"/>
    </w:rPr>
  </w:style>
  <w:style w:type="paragraph" w:styleId="FootnoteText">
    <w:name w:val="footnote text"/>
    <w:basedOn w:val="Normal"/>
    <w:link w:val="FootnoteTextChar"/>
    <w:semiHidden/>
    <w:rsid w:val="00766597"/>
    <w:pPr>
      <w:spacing w:after="60"/>
      <w:ind w:left="284" w:hanging="284"/>
    </w:pPr>
    <w:rPr>
      <w:sz w:val="18"/>
    </w:rPr>
  </w:style>
  <w:style w:type="character" w:customStyle="1" w:styleId="FootnoteTextChar">
    <w:name w:val="Footnote Text Char"/>
    <w:basedOn w:val="DefaultParagraphFont"/>
    <w:link w:val="FootnoteText"/>
    <w:semiHidden/>
    <w:rsid w:val="00292746"/>
    <w:rPr>
      <w:rFonts w:eastAsia="Times New Roman"/>
      <w:sz w:val="18"/>
      <w:lang w:eastAsia="en-US"/>
    </w:rPr>
  </w:style>
  <w:style w:type="character" w:styleId="FootnoteReference">
    <w:name w:val="footnote reference"/>
    <w:semiHidden/>
    <w:rsid w:val="00766597"/>
    <w:rPr>
      <w:vertAlign w:val="superscript"/>
    </w:rPr>
  </w:style>
  <w:style w:type="paragraph" w:styleId="Revision">
    <w:name w:val="Revision"/>
    <w:hidden/>
    <w:uiPriority w:val="99"/>
    <w:semiHidden/>
    <w:rsid w:val="00986D70"/>
  </w:style>
  <w:style w:type="paragraph" w:styleId="ListNumber2">
    <w:name w:val="List Number 2"/>
    <w:basedOn w:val="Normal"/>
    <w:rsid w:val="00766597"/>
    <w:pPr>
      <w:numPr>
        <w:numId w:val="11"/>
      </w:numPr>
      <w:contextualSpacing/>
    </w:pPr>
  </w:style>
  <w:style w:type="paragraph" w:styleId="ListNumber">
    <w:name w:val="List Number"/>
    <w:basedOn w:val="Normal"/>
    <w:rsid w:val="00766597"/>
    <w:pPr>
      <w:numPr>
        <w:numId w:val="10"/>
      </w:numPr>
      <w:contextualSpacing/>
    </w:pPr>
  </w:style>
  <w:style w:type="paragraph" w:styleId="ListNumber3">
    <w:name w:val="List Number 3"/>
    <w:basedOn w:val="Normal"/>
    <w:rsid w:val="00766597"/>
    <w:pPr>
      <w:numPr>
        <w:numId w:val="12"/>
      </w:numPr>
      <w:contextualSpacing/>
    </w:pPr>
  </w:style>
  <w:style w:type="paragraph" w:styleId="ListNumber4">
    <w:name w:val="List Number 4"/>
    <w:basedOn w:val="Normal"/>
    <w:rsid w:val="00766597"/>
    <w:pPr>
      <w:numPr>
        <w:numId w:val="13"/>
      </w:numPr>
      <w:contextualSpacing/>
    </w:pPr>
  </w:style>
  <w:style w:type="paragraph" w:styleId="ListParagraph">
    <w:name w:val="List Paragraph"/>
    <w:basedOn w:val="Normal"/>
    <w:uiPriority w:val="34"/>
    <w:qFormat/>
    <w:rsid w:val="00766597"/>
    <w:pPr>
      <w:ind w:left="720"/>
    </w:pPr>
  </w:style>
  <w:style w:type="paragraph" w:styleId="Header">
    <w:name w:val="header"/>
    <w:basedOn w:val="Normal"/>
    <w:link w:val="HeaderChar"/>
    <w:rsid w:val="00766597"/>
    <w:rPr>
      <w:b/>
      <w:sz w:val="36"/>
    </w:rPr>
  </w:style>
  <w:style w:type="character" w:customStyle="1" w:styleId="HeaderChar">
    <w:name w:val="Header Char"/>
    <w:basedOn w:val="DefaultParagraphFont"/>
    <w:link w:val="Header"/>
    <w:rsid w:val="002E2425"/>
    <w:rPr>
      <w:rFonts w:eastAsia="Times New Roman"/>
      <w:b/>
      <w:sz w:val="36"/>
      <w:lang w:eastAsia="en-US"/>
    </w:rPr>
  </w:style>
  <w:style w:type="paragraph" w:styleId="Footer">
    <w:name w:val="footer"/>
    <w:basedOn w:val="Normal"/>
    <w:link w:val="FooterChar"/>
    <w:uiPriority w:val="99"/>
    <w:rsid w:val="00766597"/>
    <w:rPr>
      <w:sz w:val="16"/>
    </w:rPr>
  </w:style>
  <w:style w:type="character" w:customStyle="1" w:styleId="FooterChar">
    <w:name w:val="Footer Char"/>
    <w:basedOn w:val="DefaultParagraphFont"/>
    <w:link w:val="Footer"/>
    <w:uiPriority w:val="99"/>
    <w:rsid w:val="002E2425"/>
    <w:rPr>
      <w:rFonts w:eastAsia="Times New Roman"/>
      <w:sz w:val="16"/>
      <w:lang w:eastAsia="en-US"/>
    </w:rPr>
  </w:style>
  <w:style w:type="paragraph" w:styleId="NormalWeb">
    <w:name w:val="Normal (Web)"/>
    <w:basedOn w:val="Normal"/>
    <w:uiPriority w:val="99"/>
    <w:rsid w:val="00766597"/>
    <w:rPr>
      <w:sz w:val="24"/>
      <w:szCs w:val="24"/>
    </w:rPr>
  </w:style>
  <w:style w:type="paragraph" w:customStyle="1" w:styleId="ScheduleHeading">
    <w:name w:val="Schedule Heading"/>
    <w:basedOn w:val="Normal"/>
    <w:rsid w:val="005D4672"/>
    <w:pPr>
      <w:pBdr>
        <w:top w:val="nil"/>
        <w:left w:val="nil"/>
        <w:bottom w:val="single" w:sz="4" w:space="1" w:color="000000"/>
        <w:right w:val="nil"/>
        <w:between w:val="nil"/>
      </w:pBdr>
      <w:spacing w:after="280"/>
    </w:pPr>
    <w:rPr>
      <w:b/>
      <w:smallCaps/>
      <w:sz w:val="28"/>
      <w:szCs w:val="28"/>
    </w:rPr>
  </w:style>
  <w:style w:type="paragraph" w:styleId="TOC1">
    <w:name w:val="toc 1"/>
    <w:basedOn w:val="Normal"/>
    <w:next w:val="Normal"/>
    <w:rsid w:val="00766597"/>
    <w:pPr>
      <w:keepNext/>
      <w:pBdr>
        <w:top w:val="single" w:sz="6" w:space="3" w:color="auto"/>
        <w:between w:val="single" w:sz="6" w:space="3" w:color="auto"/>
      </w:pBdr>
      <w:tabs>
        <w:tab w:val="right" w:pos="7938"/>
      </w:tabs>
      <w:spacing w:before="120" w:after="120"/>
      <w:ind w:left="737" w:hanging="737"/>
    </w:pPr>
    <w:rPr>
      <w:b/>
    </w:rPr>
  </w:style>
  <w:style w:type="paragraph" w:styleId="TOC2">
    <w:name w:val="toc 2"/>
    <w:basedOn w:val="Normal"/>
    <w:next w:val="Normal"/>
    <w:rsid w:val="00766597"/>
    <w:pPr>
      <w:tabs>
        <w:tab w:val="right" w:pos="7938"/>
      </w:tabs>
      <w:spacing w:line="260" w:lineRule="atLeast"/>
      <w:ind w:left="737" w:right="1701" w:hanging="737"/>
    </w:pPr>
  </w:style>
  <w:style w:type="paragraph" w:styleId="TOC3">
    <w:name w:val="toc 3"/>
    <w:basedOn w:val="Normal"/>
    <w:next w:val="Normal"/>
    <w:rsid w:val="00766597"/>
    <w:pPr>
      <w:tabs>
        <w:tab w:val="right" w:pos="7938"/>
      </w:tabs>
      <w:spacing w:before="120"/>
      <w:ind w:right="1701"/>
    </w:pPr>
    <w:rPr>
      <w:b/>
    </w:rPr>
  </w:style>
  <w:style w:type="paragraph" w:styleId="TOC4">
    <w:name w:val="toc 4"/>
    <w:basedOn w:val="Normal"/>
    <w:next w:val="Normal"/>
    <w:autoRedefine/>
    <w:rsid w:val="00766597"/>
    <w:pPr>
      <w:ind w:left="600"/>
    </w:pPr>
  </w:style>
  <w:style w:type="paragraph" w:styleId="TOC5">
    <w:name w:val="toc 5"/>
    <w:basedOn w:val="Normal"/>
    <w:next w:val="Normal"/>
    <w:autoRedefine/>
    <w:rsid w:val="00766597"/>
    <w:pPr>
      <w:ind w:left="800"/>
    </w:pPr>
  </w:style>
  <w:style w:type="paragraph" w:styleId="TOC6">
    <w:name w:val="toc 6"/>
    <w:basedOn w:val="Normal"/>
    <w:next w:val="Normal"/>
    <w:autoRedefine/>
    <w:rsid w:val="00766597"/>
    <w:pPr>
      <w:ind w:left="1000"/>
    </w:pPr>
  </w:style>
  <w:style w:type="paragraph" w:styleId="TOC7">
    <w:name w:val="toc 7"/>
    <w:basedOn w:val="Normal"/>
    <w:next w:val="Normal"/>
    <w:autoRedefine/>
    <w:rsid w:val="00766597"/>
    <w:pPr>
      <w:ind w:left="1200"/>
    </w:pPr>
  </w:style>
  <w:style w:type="paragraph" w:styleId="TOC8">
    <w:name w:val="toc 8"/>
    <w:basedOn w:val="Normal"/>
    <w:next w:val="Normal"/>
    <w:autoRedefine/>
    <w:rsid w:val="00766597"/>
    <w:pPr>
      <w:ind w:left="1400"/>
    </w:pPr>
  </w:style>
  <w:style w:type="paragraph" w:styleId="TOC9">
    <w:name w:val="toc 9"/>
    <w:basedOn w:val="Normal"/>
    <w:next w:val="Normal"/>
    <w:autoRedefine/>
    <w:rsid w:val="00766597"/>
    <w:pPr>
      <w:ind w:left="1600"/>
    </w:pPr>
  </w:style>
  <w:style w:type="character" w:styleId="Hyperlink">
    <w:name w:val="Hyperlink"/>
    <w:rsid w:val="00766597"/>
    <w:rPr>
      <w:color w:val="0000FF"/>
      <w:u w:val="single"/>
    </w:rPr>
  </w:style>
  <w:style w:type="character" w:customStyle="1" w:styleId="Heading3Char">
    <w:name w:val="Heading 3 Char"/>
    <w:basedOn w:val="DefaultParagraphFont"/>
    <w:link w:val="Heading3"/>
    <w:uiPriority w:val="9"/>
    <w:rsid w:val="00F34B2A"/>
    <w:rPr>
      <w:rFonts w:eastAsia="Times New Roman"/>
      <w:lang w:eastAsia="en-US"/>
    </w:rPr>
  </w:style>
  <w:style w:type="table" w:customStyle="1" w:styleId="ab">
    <w:name w:val="ab"/>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c">
    <w:name w:val="ac"/>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d">
    <w:name w:val="ad"/>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e">
    <w:name w:val="ae"/>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paragraph" w:customStyle="1" w:styleId="14Lead11">
    <w:name w:val="14. Lead 11"/>
    <w:basedOn w:val="Normal"/>
    <w:uiPriority w:val="99"/>
    <w:rsid w:val="00766597"/>
    <w:pPr>
      <w:suppressAutoHyphens/>
      <w:autoSpaceDE w:val="0"/>
      <w:autoSpaceDN w:val="0"/>
      <w:adjustRightInd w:val="0"/>
      <w:spacing w:line="260" w:lineRule="atLeast"/>
      <w:textAlignment w:val="center"/>
    </w:pPr>
    <w:rPr>
      <w:rFonts w:ascii="Aleo" w:eastAsiaTheme="minorHAnsi" w:hAnsi="Aleo" w:cs="Aleo"/>
      <w:color w:val="C0504D" w:themeColor="accent2"/>
      <w:spacing w:val="4"/>
      <w:sz w:val="22"/>
      <w:szCs w:val="22"/>
      <w:lang w:val="en-US"/>
    </w:rPr>
  </w:style>
  <w:style w:type="character" w:customStyle="1" w:styleId="Heading7Char">
    <w:name w:val="Heading 7 Char"/>
    <w:basedOn w:val="DefaultParagraphFont"/>
    <w:link w:val="Heading7"/>
    <w:rsid w:val="00766597"/>
    <w:rPr>
      <w:rFonts w:eastAsia="Times New Roman"/>
      <w:lang w:eastAsia="en-US"/>
    </w:rPr>
  </w:style>
  <w:style w:type="character" w:customStyle="1" w:styleId="Heading8Char">
    <w:name w:val="Heading 8 Char"/>
    <w:basedOn w:val="DefaultParagraphFont"/>
    <w:link w:val="Heading8"/>
    <w:rsid w:val="00766597"/>
    <w:rPr>
      <w:rFonts w:eastAsia="Times New Roman"/>
      <w:lang w:eastAsia="en-US"/>
    </w:rPr>
  </w:style>
  <w:style w:type="character" w:customStyle="1" w:styleId="Heading9Char">
    <w:name w:val="Heading 9 Char"/>
    <w:basedOn w:val="DefaultParagraphFont"/>
    <w:link w:val="Heading9"/>
    <w:rsid w:val="00766597"/>
    <w:rPr>
      <w:rFonts w:eastAsia="Times New Roman"/>
      <w:lang w:eastAsia="en-US"/>
    </w:rPr>
  </w:style>
  <w:style w:type="paragraph" w:styleId="BodyText">
    <w:name w:val="Body Text"/>
    <w:basedOn w:val="Normal"/>
    <w:link w:val="BodyTextChar"/>
    <w:rsid w:val="00766597"/>
    <w:pPr>
      <w:spacing w:after="240"/>
    </w:pPr>
  </w:style>
  <w:style w:type="character" w:customStyle="1" w:styleId="BodyTextChar">
    <w:name w:val="Body Text Char"/>
    <w:link w:val="BodyText"/>
    <w:rsid w:val="00766597"/>
    <w:rPr>
      <w:rFonts w:eastAsia="Times New Roman"/>
      <w:lang w:eastAsia="en-US"/>
    </w:rPr>
  </w:style>
  <w:style w:type="character" w:customStyle="1" w:styleId="Choice">
    <w:name w:val="Choice"/>
    <w:rsid w:val="00766597"/>
    <w:rPr>
      <w:rFonts w:ascii="Arial" w:hAnsi="Arial"/>
      <w:b/>
      <w:noProof w:val="0"/>
      <w:sz w:val="18"/>
      <w:vertAlign w:val="baseline"/>
      <w:lang w:val="en-AU"/>
    </w:rPr>
  </w:style>
  <w:style w:type="paragraph" w:customStyle="1" w:styleId="PrecNo">
    <w:name w:val="PrecNo"/>
    <w:basedOn w:val="Normal"/>
    <w:rsid w:val="00766597"/>
    <w:pPr>
      <w:spacing w:line="260" w:lineRule="atLeast"/>
      <w:ind w:left="142"/>
    </w:pPr>
    <w:rPr>
      <w:caps/>
      <w:spacing w:val="60"/>
      <w:sz w:val="28"/>
    </w:rPr>
  </w:style>
  <w:style w:type="paragraph" w:customStyle="1" w:styleId="Indent1">
    <w:name w:val="Indent 1"/>
    <w:basedOn w:val="Normal"/>
    <w:next w:val="Normal"/>
    <w:rsid w:val="00766597"/>
    <w:pPr>
      <w:spacing w:after="240"/>
      <w:ind w:left="737"/>
    </w:pPr>
  </w:style>
  <w:style w:type="paragraph" w:customStyle="1" w:styleId="Indent2">
    <w:name w:val="Indent 2"/>
    <w:basedOn w:val="Normal"/>
    <w:rsid w:val="00766597"/>
    <w:pPr>
      <w:spacing w:after="240"/>
      <w:ind w:left="737"/>
    </w:pPr>
  </w:style>
  <w:style w:type="paragraph" w:customStyle="1" w:styleId="Indent3">
    <w:name w:val="Indent 3"/>
    <w:basedOn w:val="Normal"/>
    <w:rsid w:val="00766597"/>
    <w:pPr>
      <w:spacing w:after="240"/>
      <w:ind w:left="1474"/>
    </w:pPr>
  </w:style>
  <w:style w:type="paragraph" w:customStyle="1" w:styleId="Indent4">
    <w:name w:val="Indent 4"/>
    <w:basedOn w:val="Normal"/>
    <w:rsid w:val="00766597"/>
    <w:pPr>
      <w:spacing w:after="240"/>
      <w:ind w:left="2211"/>
    </w:pPr>
  </w:style>
  <w:style w:type="paragraph" w:customStyle="1" w:styleId="Indent5">
    <w:name w:val="Indent 5"/>
    <w:basedOn w:val="Normal"/>
    <w:rsid w:val="00766597"/>
    <w:pPr>
      <w:spacing w:after="240"/>
      <w:ind w:left="2948"/>
    </w:pPr>
  </w:style>
  <w:style w:type="character" w:styleId="PageNumber">
    <w:name w:val="page number"/>
    <w:rsid w:val="00766597"/>
    <w:rPr>
      <w:noProof w:val="0"/>
      <w:lang w:val="en-AU"/>
    </w:rPr>
  </w:style>
  <w:style w:type="paragraph" w:customStyle="1" w:styleId="CoverText">
    <w:name w:val="CoverText"/>
    <w:basedOn w:val="FPtext"/>
    <w:rsid w:val="00766597"/>
    <w:pPr>
      <w:ind w:left="57" w:right="0"/>
    </w:pPr>
  </w:style>
  <w:style w:type="paragraph" w:customStyle="1" w:styleId="DocTitle">
    <w:name w:val="DocTitle"/>
    <w:basedOn w:val="Normal"/>
    <w:next w:val="Normal"/>
    <w:rsid w:val="00766597"/>
    <w:pPr>
      <w:tabs>
        <w:tab w:val="left" w:pos="2722"/>
      </w:tabs>
      <w:ind w:left="2722"/>
    </w:pPr>
    <w:rPr>
      <w:rFonts w:ascii="Arial Narrow" w:hAnsi="Arial Narrow"/>
      <w:b/>
      <w:sz w:val="34"/>
    </w:rPr>
  </w:style>
  <w:style w:type="paragraph" w:customStyle="1" w:styleId="SchedTitle">
    <w:name w:val="SchedTitle"/>
    <w:basedOn w:val="Normal"/>
    <w:next w:val="Normal"/>
    <w:rsid w:val="00766597"/>
    <w:pPr>
      <w:spacing w:after="240"/>
    </w:pPr>
    <w:rPr>
      <w:sz w:val="36"/>
    </w:rPr>
  </w:style>
  <w:style w:type="paragraph" w:customStyle="1" w:styleId="SubHead">
    <w:name w:val="SubHead"/>
    <w:basedOn w:val="Normal"/>
    <w:next w:val="Heading2"/>
    <w:rsid w:val="00766597"/>
    <w:pPr>
      <w:keepNext/>
    </w:pPr>
    <w:rPr>
      <w:b/>
    </w:rPr>
  </w:style>
  <w:style w:type="paragraph" w:customStyle="1" w:styleId="Details">
    <w:name w:val="Details"/>
    <w:basedOn w:val="Normal"/>
    <w:next w:val="DetailsFollower"/>
    <w:rsid w:val="00766597"/>
    <w:pPr>
      <w:spacing w:before="120" w:after="120" w:line="260" w:lineRule="atLeast"/>
    </w:pPr>
  </w:style>
  <w:style w:type="paragraph" w:customStyle="1" w:styleId="DetailsFollower">
    <w:name w:val="DetailsFollower"/>
    <w:basedOn w:val="Normal"/>
    <w:rsid w:val="00766597"/>
    <w:pPr>
      <w:spacing w:before="120" w:after="120" w:line="260" w:lineRule="atLeast"/>
    </w:pPr>
  </w:style>
  <w:style w:type="paragraph" w:customStyle="1" w:styleId="Headersub">
    <w:name w:val="Header sub"/>
    <w:basedOn w:val="Normal"/>
    <w:rsid w:val="00766597"/>
    <w:pPr>
      <w:spacing w:after="1240"/>
    </w:pPr>
    <w:rPr>
      <w:sz w:val="36"/>
    </w:rPr>
  </w:style>
  <w:style w:type="paragraph" w:customStyle="1" w:styleId="Indent6">
    <w:name w:val="Indent 6"/>
    <w:basedOn w:val="Normal"/>
    <w:rsid w:val="00766597"/>
    <w:pPr>
      <w:spacing w:after="240"/>
      <w:ind w:left="3686"/>
    </w:pPr>
  </w:style>
  <w:style w:type="paragraph" w:customStyle="1" w:styleId="NormalDeed">
    <w:name w:val="Normal Deed"/>
    <w:basedOn w:val="Normal"/>
    <w:rsid w:val="00766597"/>
    <w:pPr>
      <w:spacing w:after="240"/>
    </w:pPr>
  </w:style>
  <w:style w:type="paragraph" w:customStyle="1" w:styleId="PartHeading">
    <w:name w:val="Part Heading"/>
    <w:basedOn w:val="Normal"/>
    <w:next w:val="Normal"/>
    <w:rsid w:val="00766597"/>
    <w:pPr>
      <w:numPr>
        <w:numId w:val="19"/>
      </w:numPr>
      <w:spacing w:before="240" w:after="240"/>
    </w:pPr>
    <w:rPr>
      <w:b/>
      <w:sz w:val="28"/>
    </w:rPr>
  </w:style>
  <w:style w:type="paragraph" w:customStyle="1" w:styleId="PrecNameCover">
    <w:name w:val="PrecNameCover"/>
    <w:basedOn w:val="PrecName"/>
    <w:next w:val="Normal"/>
    <w:rsid w:val="00766597"/>
    <w:pPr>
      <w:ind w:left="57"/>
    </w:pPr>
  </w:style>
  <w:style w:type="paragraph" w:customStyle="1" w:styleId="SchedH1">
    <w:name w:val="SchedH1"/>
    <w:basedOn w:val="Normal"/>
    <w:next w:val="SchedH2"/>
    <w:uiPriority w:val="6"/>
    <w:rsid w:val="00766597"/>
    <w:pPr>
      <w:keepNext/>
      <w:numPr>
        <w:ilvl w:val="1"/>
        <w:numId w:val="20"/>
      </w:numPr>
      <w:pBdr>
        <w:top w:val="single" w:sz="6" w:space="2" w:color="auto"/>
      </w:pBdr>
      <w:spacing w:before="240" w:after="120"/>
    </w:pPr>
    <w:rPr>
      <w:b/>
      <w:sz w:val="28"/>
    </w:rPr>
  </w:style>
  <w:style w:type="paragraph" w:customStyle="1" w:styleId="SchedH2">
    <w:name w:val="SchedH2"/>
    <w:basedOn w:val="Normal"/>
    <w:next w:val="Indent2"/>
    <w:uiPriority w:val="6"/>
    <w:rsid w:val="00766597"/>
    <w:pPr>
      <w:keepNext/>
      <w:numPr>
        <w:ilvl w:val="2"/>
        <w:numId w:val="20"/>
      </w:numPr>
      <w:tabs>
        <w:tab w:val="clear" w:pos="1162"/>
        <w:tab w:val="num" w:pos="879"/>
      </w:tabs>
      <w:spacing w:before="120" w:after="120"/>
      <w:ind w:left="879"/>
    </w:pPr>
    <w:rPr>
      <w:b/>
      <w:sz w:val="22"/>
    </w:rPr>
  </w:style>
  <w:style w:type="paragraph" w:customStyle="1" w:styleId="SchedH3">
    <w:name w:val="SchedH3"/>
    <w:basedOn w:val="Normal"/>
    <w:uiPriority w:val="6"/>
    <w:rsid w:val="00766597"/>
    <w:pPr>
      <w:numPr>
        <w:ilvl w:val="3"/>
        <w:numId w:val="20"/>
      </w:numPr>
      <w:spacing w:after="240"/>
    </w:pPr>
  </w:style>
  <w:style w:type="paragraph" w:customStyle="1" w:styleId="SchedH4">
    <w:name w:val="SchedH4"/>
    <w:basedOn w:val="Normal"/>
    <w:uiPriority w:val="6"/>
    <w:rsid w:val="00766597"/>
    <w:pPr>
      <w:numPr>
        <w:ilvl w:val="4"/>
        <w:numId w:val="20"/>
      </w:numPr>
      <w:spacing w:after="240"/>
    </w:pPr>
  </w:style>
  <w:style w:type="paragraph" w:customStyle="1" w:styleId="SchedH5">
    <w:name w:val="SchedH5"/>
    <w:basedOn w:val="Normal"/>
    <w:uiPriority w:val="6"/>
    <w:rsid w:val="00766597"/>
    <w:pPr>
      <w:numPr>
        <w:ilvl w:val="5"/>
        <w:numId w:val="20"/>
      </w:numPr>
      <w:spacing w:after="240"/>
    </w:pPr>
  </w:style>
  <w:style w:type="paragraph" w:customStyle="1" w:styleId="PrecName">
    <w:name w:val="PrecName"/>
    <w:basedOn w:val="Normal"/>
    <w:rsid w:val="00766597"/>
    <w:pPr>
      <w:spacing w:after="240" w:line="260" w:lineRule="atLeast"/>
      <w:ind w:left="142"/>
    </w:pPr>
    <w:rPr>
      <w:rFonts w:ascii="Garamond" w:hAnsi="Garamond"/>
      <w:sz w:val="64"/>
    </w:rPr>
  </w:style>
  <w:style w:type="paragraph" w:customStyle="1" w:styleId="FPbullet">
    <w:name w:val="FPbullet"/>
    <w:basedOn w:val="Normal"/>
    <w:rsid w:val="00766597"/>
    <w:pPr>
      <w:spacing w:before="120" w:line="260" w:lineRule="atLeast"/>
      <w:ind w:left="624" w:right="-567" w:hanging="284"/>
    </w:pPr>
  </w:style>
  <w:style w:type="paragraph" w:customStyle="1" w:styleId="FPtext">
    <w:name w:val="FPtext"/>
    <w:basedOn w:val="Normal"/>
    <w:rsid w:val="00766597"/>
    <w:pPr>
      <w:spacing w:line="260" w:lineRule="atLeast"/>
      <w:ind w:left="624" w:right="-567"/>
    </w:pPr>
  </w:style>
  <w:style w:type="paragraph" w:customStyle="1" w:styleId="FStext">
    <w:name w:val="FStext"/>
    <w:basedOn w:val="Normal"/>
    <w:rsid w:val="00766597"/>
    <w:pPr>
      <w:spacing w:after="120" w:line="260" w:lineRule="atLeast"/>
      <w:ind w:left="737"/>
    </w:pPr>
  </w:style>
  <w:style w:type="paragraph" w:customStyle="1" w:styleId="FSbullet">
    <w:name w:val="FSbullet"/>
    <w:basedOn w:val="Normal"/>
    <w:rsid w:val="00766597"/>
    <w:pPr>
      <w:spacing w:after="120" w:line="260" w:lineRule="atLeast"/>
      <w:ind w:left="737" w:hanging="510"/>
    </w:pPr>
  </w:style>
  <w:style w:type="paragraph" w:customStyle="1" w:styleId="FScheck1">
    <w:name w:val="FScheck1"/>
    <w:basedOn w:val="Normal"/>
    <w:rsid w:val="00766597"/>
    <w:pPr>
      <w:spacing w:before="60" w:after="60" w:line="260" w:lineRule="atLeast"/>
      <w:ind w:left="425" w:hanging="425"/>
    </w:pPr>
  </w:style>
  <w:style w:type="paragraph" w:customStyle="1" w:styleId="FScheckNoYes">
    <w:name w:val="FScheckNoYes"/>
    <w:basedOn w:val="FScheck1"/>
    <w:rsid w:val="00766597"/>
    <w:pPr>
      <w:ind w:left="0" w:firstLine="0"/>
    </w:pPr>
  </w:style>
  <w:style w:type="paragraph" w:customStyle="1" w:styleId="FScheck2">
    <w:name w:val="FScheck2"/>
    <w:basedOn w:val="Normal"/>
    <w:rsid w:val="00766597"/>
    <w:pPr>
      <w:spacing w:before="60" w:after="60" w:line="260" w:lineRule="atLeast"/>
      <w:ind w:left="850" w:hanging="425"/>
    </w:pPr>
  </w:style>
  <w:style w:type="paragraph" w:customStyle="1" w:styleId="FScheck3">
    <w:name w:val="FScheck3"/>
    <w:basedOn w:val="Normal"/>
    <w:rsid w:val="00766597"/>
    <w:pPr>
      <w:spacing w:before="60" w:after="60" w:line="260" w:lineRule="atLeast"/>
      <w:ind w:left="1276" w:hanging="425"/>
    </w:pPr>
  </w:style>
  <w:style w:type="paragraph" w:customStyle="1" w:styleId="FScheckbullet">
    <w:name w:val="FScheckbullet"/>
    <w:basedOn w:val="FScheck1"/>
    <w:rsid w:val="00766597"/>
    <w:pPr>
      <w:ind w:left="709" w:hanging="284"/>
    </w:pPr>
  </w:style>
  <w:style w:type="paragraph" w:customStyle="1" w:styleId="FPdisclaimer">
    <w:name w:val="FPdisclaimer"/>
    <w:basedOn w:val="Header"/>
    <w:rsid w:val="00766597"/>
    <w:pPr>
      <w:framePr w:w="5676" w:hSpace="181" w:wrap="around" w:vAnchor="page" w:hAnchor="page" w:x="5416" w:y="13467"/>
      <w:spacing w:line="260" w:lineRule="atLeast"/>
    </w:pPr>
    <w:rPr>
      <w:sz w:val="20"/>
    </w:rPr>
  </w:style>
  <w:style w:type="paragraph" w:customStyle="1" w:styleId="FScheck1NoYes">
    <w:name w:val="FScheck1NoYes"/>
    <w:rsid w:val="00766597"/>
    <w:pPr>
      <w:tabs>
        <w:tab w:val="left" w:pos="1077"/>
      </w:tabs>
      <w:spacing w:before="60" w:after="60" w:line="260" w:lineRule="atLeast"/>
      <w:ind w:left="425"/>
    </w:pPr>
    <w:rPr>
      <w:rFonts w:eastAsia="Times New Roman" w:cs="Times New Roman"/>
      <w:noProof/>
      <w:lang w:eastAsia="en-US"/>
    </w:rPr>
  </w:style>
  <w:style w:type="paragraph" w:customStyle="1" w:styleId="FScheck2NoYes">
    <w:name w:val="FScheck2NoYes"/>
    <w:rsid w:val="00766597"/>
    <w:pPr>
      <w:tabs>
        <w:tab w:val="left" w:pos="851"/>
      </w:tabs>
      <w:spacing w:before="60" w:after="60" w:line="260" w:lineRule="atLeast"/>
      <w:ind w:left="851"/>
    </w:pPr>
    <w:rPr>
      <w:rFonts w:eastAsia="Times New Roman" w:cs="Times New Roman"/>
      <w:noProof/>
      <w:lang w:eastAsia="en-US"/>
    </w:rPr>
  </w:style>
  <w:style w:type="paragraph" w:customStyle="1" w:styleId="FScheck3NoYes">
    <w:name w:val="FScheck3NoYes"/>
    <w:rsid w:val="00766597"/>
    <w:pPr>
      <w:tabs>
        <w:tab w:val="left" w:pos="1985"/>
      </w:tabs>
      <w:spacing w:before="60" w:after="60" w:line="260" w:lineRule="atLeast"/>
      <w:ind w:left="1304"/>
    </w:pPr>
    <w:rPr>
      <w:rFonts w:eastAsia="Times New Roman" w:cs="Times New Roman"/>
      <w:noProof/>
      <w:lang w:eastAsia="en-US"/>
    </w:rPr>
  </w:style>
  <w:style w:type="numbering" w:styleId="111111">
    <w:name w:val="Outline List 2"/>
    <w:basedOn w:val="NoList"/>
    <w:rsid w:val="00766597"/>
    <w:pPr>
      <w:numPr>
        <w:numId w:val="2"/>
      </w:numPr>
    </w:pPr>
  </w:style>
  <w:style w:type="numbering" w:styleId="1ai">
    <w:name w:val="Outline List 1"/>
    <w:basedOn w:val="NoList"/>
    <w:rsid w:val="00766597"/>
    <w:pPr>
      <w:numPr>
        <w:numId w:val="3"/>
      </w:numPr>
    </w:pPr>
  </w:style>
  <w:style w:type="numbering" w:styleId="ArticleSection">
    <w:name w:val="Outline List 3"/>
    <w:basedOn w:val="NoList"/>
    <w:rsid w:val="00766597"/>
    <w:pPr>
      <w:numPr>
        <w:numId w:val="4"/>
      </w:numPr>
    </w:pPr>
  </w:style>
  <w:style w:type="paragraph" w:styleId="Bibliography">
    <w:name w:val="Bibliography"/>
    <w:basedOn w:val="Normal"/>
    <w:next w:val="Normal"/>
    <w:uiPriority w:val="37"/>
    <w:semiHidden/>
    <w:unhideWhenUsed/>
    <w:rsid w:val="00766597"/>
  </w:style>
  <w:style w:type="paragraph" w:styleId="BlockText">
    <w:name w:val="Block Text"/>
    <w:basedOn w:val="Normal"/>
    <w:rsid w:val="00766597"/>
    <w:pPr>
      <w:spacing w:after="120"/>
      <w:ind w:left="1440" w:right="1440"/>
    </w:pPr>
  </w:style>
  <w:style w:type="paragraph" w:styleId="BodyText2">
    <w:name w:val="Body Text 2"/>
    <w:basedOn w:val="Normal"/>
    <w:link w:val="BodyText2Char"/>
    <w:rsid w:val="00766597"/>
    <w:pPr>
      <w:spacing w:after="120" w:line="480" w:lineRule="auto"/>
    </w:pPr>
  </w:style>
  <w:style w:type="character" w:customStyle="1" w:styleId="BodyText2Char">
    <w:name w:val="Body Text 2 Char"/>
    <w:link w:val="BodyText2"/>
    <w:rsid w:val="00766597"/>
    <w:rPr>
      <w:rFonts w:eastAsia="Times New Roman"/>
      <w:lang w:eastAsia="en-US"/>
    </w:rPr>
  </w:style>
  <w:style w:type="paragraph" w:styleId="BodyText3">
    <w:name w:val="Body Text 3"/>
    <w:basedOn w:val="Normal"/>
    <w:link w:val="BodyText3Char"/>
    <w:rsid w:val="00766597"/>
    <w:pPr>
      <w:spacing w:after="120"/>
    </w:pPr>
    <w:rPr>
      <w:sz w:val="16"/>
      <w:szCs w:val="16"/>
    </w:rPr>
  </w:style>
  <w:style w:type="character" w:customStyle="1" w:styleId="BodyText3Char">
    <w:name w:val="Body Text 3 Char"/>
    <w:link w:val="BodyText3"/>
    <w:rsid w:val="00766597"/>
    <w:rPr>
      <w:rFonts w:eastAsia="Times New Roman"/>
      <w:sz w:val="16"/>
      <w:szCs w:val="16"/>
      <w:lang w:eastAsia="en-US"/>
    </w:rPr>
  </w:style>
  <w:style w:type="paragraph" w:styleId="BodyTextFirstIndent">
    <w:name w:val="Body Text First Indent"/>
    <w:basedOn w:val="BodyText"/>
    <w:link w:val="BodyTextFirstIndentChar"/>
    <w:rsid w:val="00766597"/>
    <w:pPr>
      <w:spacing w:after="120"/>
      <w:ind w:firstLine="210"/>
    </w:pPr>
  </w:style>
  <w:style w:type="character" w:customStyle="1" w:styleId="BodyTextFirstIndentChar">
    <w:name w:val="Body Text First Indent Char"/>
    <w:basedOn w:val="BodyTextChar"/>
    <w:link w:val="BodyTextFirstIndent"/>
    <w:rsid w:val="00766597"/>
    <w:rPr>
      <w:rFonts w:eastAsia="Times New Roman"/>
      <w:lang w:eastAsia="en-US"/>
    </w:rPr>
  </w:style>
  <w:style w:type="paragraph" w:styleId="BodyTextIndent">
    <w:name w:val="Body Text Indent"/>
    <w:basedOn w:val="Normal"/>
    <w:link w:val="BodyTextIndentChar"/>
    <w:rsid w:val="00766597"/>
    <w:pPr>
      <w:spacing w:after="120"/>
      <w:ind w:left="283"/>
    </w:pPr>
  </w:style>
  <w:style w:type="character" w:customStyle="1" w:styleId="BodyTextIndentChar">
    <w:name w:val="Body Text Indent Char"/>
    <w:link w:val="BodyTextIndent"/>
    <w:rsid w:val="00766597"/>
    <w:rPr>
      <w:rFonts w:eastAsia="Times New Roman"/>
      <w:lang w:eastAsia="en-US"/>
    </w:rPr>
  </w:style>
  <w:style w:type="paragraph" w:styleId="BodyTextFirstIndent2">
    <w:name w:val="Body Text First Indent 2"/>
    <w:basedOn w:val="BodyTextIndent"/>
    <w:link w:val="BodyTextFirstIndent2Char"/>
    <w:rsid w:val="00766597"/>
    <w:pPr>
      <w:ind w:firstLine="210"/>
    </w:pPr>
  </w:style>
  <w:style w:type="character" w:customStyle="1" w:styleId="BodyTextFirstIndent2Char">
    <w:name w:val="Body Text First Indent 2 Char"/>
    <w:basedOn w:val="BodyTextIndentChar"/>
    <w:link w:val="BodyTextFirstIndent2"/>
    <w:rsid w:val="00766597"/>
    <w:rPr>
      <w:rFonts w:eastAsia="Times New Roman"/>
      <w:lang w:eastAsia="en-US"/>
    </w:rPr>
  </w:style>
  <w:style w:type="paragraph" w:styleId="BodyTextIndent2">
    <w:name w:val="Body Text Indent 2"/>
    <w:basedOn w:val="Normal"/>
    <w:link w:val="BodyTextIndent2Char"/>
    <w:rsid w:val="00766597"/>
    <w:pPr>
      <w:spacing w:after="120" w:line="480" w:lineRule="auto"/>
      <w:ind w:left="283"/>
    </w:pPr>
  </w:style>
  <w:style w:type="character" w:customStyle="1" w:styleId="BodyTextIndent2Char">
    <w:name w:val="Body Text Indent 2 Char"/>
    <w:link w:val="BodyTextIndent2"/>
    <w:rsid w:val="00766597"/>
    <w:rPr>
      <w:rFonts w:eastAsia="Times New Roman"/>
      <w:lang w:eastAsia="en-US"/>
    </w:rPr>
  </w:style>
  <w:style w:type="paragraph" w:styleId="BodyTextIndent3">
    <w:name w:val="Body Text Indent 3"/>
    <w:basedOn w:val="Normal"/>
    <w:link w:val="BodyTextIndent3Char"/>
    <w:rsid w:val="00766597"/>
    <w:pPr>
      <w:spacing w:after="120"/>
      <w:ind w:left="283"/>
    </w:pPr>
    <w:rPr>
      <w:sz w:val="16"/>
      <w:szCs w:val="16"/>
    </w:rPr>
  </w:style>
  <w:style w:type="character" w:customStyle="1" w:styleId="BodyTextIndent3Char">
    <w:name w:val="Body Text Indent 3 Char"/>
    <w:link w:val="BodyTextIndent3"/>
    <w:rsid w:val="00766597"/>
    <w:rPr>
      <w:rFonts w:eastAsia="Times New Roman"/>
      <w:sz w:val="16"/>
      <w:szCs w:val="16"/>
      <w:lang w:eastAsia="en-US"/>
    </w:rPr>
  </w:style>
  <w:style w:type="character" w:styleId="BookTitle">
    <w:name w:val="Book Title"/>
    <w:uiPriority w:val="33"/>
    <w:qFormat/>
    <w:rsid w:val="00766597"/>
    <w:rPr>
      <w:b/>
      <w:bCs/>
      <w:smallCaps/>
      <w:spacing w:val="5"/>
    </w:rPr>
  </w:style>
  <w:style w:type="paragraph" w:styleId="Caption">
    <w:name w:val="caption"/>
    <w:basedOn w:val="Normal"/>
    <w:next w:val="Normal"/>
    <w:semiHidden/>
    <w:unhideWhenUsed/>
    <w:qFormat/>
    <w:rsid w:val="00766597"/>
    <w:rPr>
      <w:b/>
      <w:bCs/>
    </w:rPr>
  </w:style>
  <w:style w:type="paragraph" w:styleId="Closing">
    <w:name w:val="Closing"/>
    <w:basedOn w:val="Normal"/>
    <w:link w:val="ClosingChar"/>
    <w:rsid w:val="00766597"/>
    <w:pPr>
      <w:ind w:left="4252"/>
    </w:pPr>
  </w:style>
  <w:style w:type="character" w:customStyle="1" w:styleId="ClosingChar">
    <w:name w:val="Closing Char"/>
    <w:link w:val="Closing"/>
    <w:rsid w:val="00766597"/>
    <w:rPr>
      <w:rFonts w:eastAsia="Times New Roman"/>
      <w:lang w:eastAsia="en-US"/>
    </w:rPr>
  </w:style>
  <w:style w:type="table" w:styleId="ColorfulGrid">
    <w:name w:val="Colorful Grid"/>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766597"/>
  </w:style>
  <w:style w:type="character" w:customStyle="1" w:styleId="DateChar">
    <w:name w:val="Date Char"/>
    <w:link w:val="Date"/>
    <w:rsid w:val="00766597"/>
    <w:rPr>
      <w:rFonts w:eastAsia="Times New Roman"/>
      <w:lang w:eastAsia="en-US"/>
    </w:rPr>
  </w:style>
  <w:style w:type="paragraph" w:styleId="DocumentMap">
    <w:name w:val="Document Map"/>
    <w:basedOn w:val="Normal"/>
    <w:link w:val="DocumentMapChar"/>
    <w:rsid w:val="00766597"/>
    <w:rPr>
      <w:rFonts w:ascii="Tahoma" w:hAnsi="Tahoma" w:cs="Tahoma"/>
      <w:sz w:val="16"/>
      <w:szCs w:val="16"/>
    </w:rPr>
  </w:style>
  <w:style w:type="character" w:customStyle="1" w:styleId="DocumentMapChar">
    <w:name w:val="Document Map Char"/>
    <w:link w:val="DocumentMap"/>
    <w:rsid w:val="00766597"/>
    <w:rPr>
      <w:rFonts w:ascii="Tahoma" w:eastAsia="Times New Roman" w:hAnsi="Tahoma" w:cs="Tahoma"/>
      <w:sz w:val="16"/>
      <w:szCs w:val="16"/>
      <w:lang w:eastAsia="en-US"/>
    </w:rPr>
  </w:style>
  <w:style w:type="paragraph" w:styleId="E-mailSignature">
    <w:name w:val="E-mail Signature"/>
    <w:basedOn w:val="Normal"/>
    <w:link w:val="E-mailSignatureChar"/>
    <w:rsid w:val="00766597"/>
  </w:style>
  <w:style w:type="character" w:customStyle="1" w:styleId="E-mailSignatureChar">
    <w:name w:val="E-mail Signature Char"/>
    <w:link w:val="E-mailSignature"/>
    <w:rsid w:val="00766597"/>
    <w:rPr>
      <w:rFonts w:eastAsia="Times New Roman"/>
      <w:lang w:eastAsia="en-US"/>
    </w:rPr>
  </w:style>
  <w:style w:type="character" w:styleId="Emphasis">
    <w:name w:val="Emphasis"/>
    <w:qFormat/>
    <w:rsid w:val="00766597"/>
    <w:rPr>
      <w:i/>
      <w:iCs/>
    </w:rPr>
  </w:style>
  <w:style w:type="character" w:styleId="EndnoteReference">
    <w:name w:val="endnote reference"/>
    <w:rsid w:val="00766597"/>
    <w:rPr>
      <w:vertAlign w:val="superscript"/>
    </w:rPr>
  </w:style>
  <w:style w:type="paragraph" w:styleId="EndnoteText">
    <w:name w:val="endnote text"/>
    <w:basedOn w:val="Normal"/>
    <w:link w:val="EndnoteTextChar"/>
    <w:rsid w:val="00766597"/>
  </w:style>
  <w:style w:type="character" w:customStyle="1" w:styleId="EndnoteTextChar">
    <w:name w:val="Endnote Text Char"/>
    <w:link w:val="EndnoteText"/>
    <w:rsid w:val="00766597"/>
    <w:rPr>
      <w:rFonts w:eastAsia="Times New Roman"/>
      <w:lang w:eastAsia="en-US"/>
    </w:rPr>
  </w:style>
  <w:style w:type="paragraph" w:styleId="EnvelopeAddress">
    <w:name w:val="envelope address"/>
    <w:basedOn w:val="Normal"/>
    <w:rsid w:val="00766597"/>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766597"/>
    <w:rPr>
      <w:rFonts w:ascii="Cambria" w:eastAsia="SimSun" w:hAnsi="Cambria" w:cs="Times New Roman"/>
    </w:rPr>
  </w:style>
  <w:style w:type="character" w:styleId="FollowedHyperlink">
    <w:name w:val="FollowedHyperlink"/>
    <w:rsid w:val="00766597"/>
    <w:rPr>
      <w:color w:val="800080"/>
      <w:u w:val="single"/>
    </w:rPr>
  </w:style>
  <w:style w:type="character" w:styleId="HTMLAcronym">
    <w:name w:val="HTML Acronym"/>
    <w:rsid w:val="00766597"/>
  </w:style>
  <w:style w:type="paragraph" w:styleId="HTMLAddress">
    <w:name w:val="HTML Address"/>
    <w:basedOn w:val="Normal"/>
    <w:link w:val="HTMLAddressChar"/>
    <w:rsid w:val="00766597"/>
    <w:rPr>
      <w:i/>
      <w:iCs/>
    </w:rPr>
  </w:style>
  <w:style w:type="character" w:customStyle="1" w:styleId="HTMLAddressChar">
    <w:name w:val="HTML Address Char"/>
    <w:link w:val="HTMLAddress"/>
    <w:rsid w:val="00766597"/>
    <w:rPr>
      <w:rFonts w:eastAsia="Times New Roman"/>
      <w:i/>
      <w:iCs/>
      <w:lang w:eastAsia="en-US"/>
    </w:rPr>
  </w:style>
  <w:style w:type="character" w:styleId="HTMLCite">
    <w:name w:val="HTML Cite"/>
    <w:rsid w:val="00766597"/>
    <w:rPr>
      <w:i/>
      <w:iCs/>
    </w:rPr>
  </w:style>
  <w:style w:type="character" w:styleId="HTMLCode">
    <w:name w:val="HTML Code"/>
    <w:rsid w:val="00766597"/>
    <w:rPr>
      <w:rFonts w:ascii="Courier New" w:hAnsi="Courier New" w:cs="Courier New"/>
      <w:sz w:val="20"/>
      <w:szCs w:val="20"/>
    </w:rPr>
  </w:style>
  <w:style w:type="character" w:styleId="HTMLDefinition">
    <w:name w:val="HTML Definition"/>
    <w:rsid w:val="00766597"/>
    <w:rPr>
      <w:i/>
      <w:iCs/>
    </w:rPr>
  </w:style>
  <w:style w:type="character" w:styleId="HTMLKeyboard">
    <w:name w:val="HTML Keyboard"/>
    <w:rsid w:val="00766597"/>
    <w:rPr>
      <w:rFonts w:ascii="Courier New" w:hAnsi="Courier New" w:cs="Courier New"/>
      <w:sz w:val="20"/>
      <w:szCs w:val="20"/>
    </w:rPr>
  </w:style>
  <w:style w:type="paragraph" w:styleId="HTMLPreformatted">
    <w:name w:val="HTML Preformatted"/>
    <w:basedOn w:val="Normal"/>
    <w:link w:val="HTMLPreformattedChar"/>
    <w:rsid w:val="00766597"/>
    <w:rPr>
      <w:rFonts w:ascii="Courier New" w:hAnsi="Courier New" w:cs="Courier New"/>
    </w:rPr>
  </w:style>
  <w:style w:type="character" w:customStyle="1" w:styleId="HTMLPreformattedChar">
    <w:name w:val="HTML Preformatted Char"/>
    <w:link w:val="HTMLPreformatted"/>
    <w:rsid w:val="00766597"/>
    <w:rPr>
      <w:rFonts w:ascii="Courier New" w:eastAsia="Times New Roman" w:hAnsi="Courier New" w:cs="Courier New"/>
      <w:lang w:eastAsia="en-US"/>
    </w:rPr>
  </w:style>
  <w:style w:type="character" w:styleId="HTMLSample">
    <w:name w:val="HTML Sample"/>
    <w:rsid w:val="00766597"/>
    <w:rPr>
      <w:rFonts w:ascii="Courier New" w:hAnsi="Courier New" w:cs="Courier New"/>
    </w:rPr>
  </w:style>
  <w:style w:type="character" w:styleId="HTMLTypewriter">
    <w:name w:val="HTML Typewriter"/>
    <w:rsid w:val="00766597"/>
    <w:rPr>
      <w:rFonts w:ascii="Courier New" w:hAnsi="Courier New" w:cs="Courier New"/>
      <w:sz w:val="20"/>
      <w:szCs w:val="20"/>
    </w:rPr>
  </w:style>
  <w:style w:type="character" w:styleId="HTMLVariable">
    <w:name w:val="HTML Variable"/>
    <w:rsid w:val="00766597"/>
    <w:rPr>
      <w:i/>
      <w:iCs/>
    </w:rPr>
  </w:style>
  <w:style w:type="paragraph" w:styleId="Index1">
    <w:name w:val="index 1"/>
    <w:basedOn w:val="Normal"/>
    <w:next w:val="Normal"/>
    <w:autoRedefine/>
    <w:rsid w:val="00766597"/>
    <w:pPr>
      <w:ind w:left="200" w:hanging="200"/>
    </w:pPr>
  </w:style>
  <w:style w:type="paragraph" w:styleId="Index2">
    <w:name w:val="index 2"/>
    <w:basedOn w:val="Normal"/>
    <w:next w:val="Normal"/>
    <w:autoRedefine/>
    <w:rsid w:val="00766597"/>
    <w:pPr>
      <w:ind w:left="400" w:hanging="200"/>
    </w:pPr>
  </w:style>
  <w:style w:type="paragraph" w:styleId="Index3">
    <w:name w:val="index 3"/>
    <w:basedOn w:val="Normal"/>
    <w:next w:val="Normal"/>
    <w:autoRedefine/>
    <w:rsid w:val="00766597"/>
    <w:pPr>
      <w:ind w:left="600" w:hanging="200"/>
    </w:pPr>
  </w:style>
  <w:style w:type="paragraph" w:styleId="Index4">
    <w:name w:val="index 4"/>
    <w:basedOn w:val="Normal"/>
    <w:next w:val="Normal"/>
    <w:autoRedefine/>
    <w:rsid w:val="00766597"/>
    <w:pPr>
      <w:ind w:left="800" w:hanging="200"/>
    </w:pPr>
  </w:style>
  <w:style w:type="paragraph" w:styleId="Index5">
    <w:name w:val="index 5"/>
    <w:basedOn w:val="Normal"/>
    <w:next w:val="Normal"/>
    <w:autoRedefine/>
    <w:rsid w:val="00766597"/>
    <w:pPr>
      <w:ind w:left="1000" w:hanging="200"/>
    </w:pPr>
  </w:style>
  <w:style w:type="paragraph" w:styleId="Index6">
    <w:name w:val="index 6"/>
    <w:basedOn w:val="Normal"/>
    <w:next w:val="Normal"/>
    <w:autoRedefine/>
    <w:rsid w:val="00766597"/>
    <w:pPr>
      <w:ind w:left="1200" w:hanging="200"/>
    </w:pPr>
  </w:style>
  <w:style w:type="paragraph" w:styleId="Index7">
    <w:name w:val="index 7"/>
    <w:basedOn w:val="Normal"/>
    <w:next w:val="Normal"/>
    <w:autoRedefine/>
    <w:rsid w:val="00766597"/>
    <w:pPr>
      <w:ind w:left="1400" w:hanging="200"/>
    </w:pPr>
  </w:style>
  <w:style w:type="paragraph" w:styleId="Index8">
    <w:name w:val="index 8"/>
    <w:basedOn w:val="Normal"/>
    <w:next w:val="Normal"/>
    <w:autoRedefine/>
    <w:rsid w:val="00766597"/>
    <w:pPr>
      <w:ind w:left="1600" w:hanging="200"/>
    </w:pPr>
  </w:style>
  <w:style w:type="paragraph" w:styleId="Index9">
    <w:name w:val="index 9"/>
    <w:basedOn w:val="Normal"/>
    <w:next w:val="Normal"/>
    <w:autoRedefine/>
    <w:rsid w:val="00766597"/>
    <w:pPr>
      <w:ind w:left="1800" w:hanging="200"/>
    </w:pPr>
  </w:style>
  <w:style w:type="paragraph" w:styleId="IndexHeading">
    <w:name w:val="index heading"/>
    <w:basedOn w:val="Normal"/>
    <w:next w:val="Index1"/>
    <w:rsid w:val="00766597"/>
    <w:rPr>
      <w:rFonts w:ascii="Cambria" w:eastAsia="SimSun" w:hAnsi="Cambria" w:cs="Times New Roman"/>
      <w:b/>
      <w:bCs/>
    </w:rPr>
  </w:style>
  <w:style w:type="character" w:styleId="IntenseEmphasis">
    <w:name w:val="Intense Emphasis"/>
    <w:uiPriority w:val="21"/>
    <w:qFormat/>
    <w:rsid w:val="00766597"/>
    <w:rPr>
      <w:b/>
      <w:bCs/>
      <w:i/>
      <w:iCs/>
      <w:color w:val="4F81BD"/>
    </w:rPr>
  </w:style>
  <w:style w:type="paragraph" w:styleId="IntenseQuote">
    <w:name w:val="Intense Quote"/>
    <w:basedOn w:val="Normal"/>
    <w:next w:val="Normal"/>
    <w:link w:val="IntenseQuoteChar"/>
    <w:uiPriority w:val="30"/>
    <w:qFormat/>
    <w:rsid w:val="0076659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6597"/>
    <w:rPr>
      <w:rFonts w:eastAsia="Times New Roman"/>
      <w:b/>
      <w:bCs/>
      <w:i/>
      <w:iCs/>
      <w:color w:val="4F81BD"/>
      <w:lang w:eastAsia="en-US"/>
    </w:rPr>
  </w:style>
  <w:style w:type="character" w:styleId="IntenseReference">
    <w:name w:val="Intense Reference"/>
    <w:uiPriority w:val="32"/>
    <w:qFormat/>
    <w:rsid w:val="00766597"/>
    <w:rPr>
      <w:b/>
      <w:bCs/>
      <w:smallCaps/>
      <w:color w:val="C0504D"/>
      <w:spacing w:val="5"/>
      <w:u w:val="single"/>
    </w:rPr>
  </w:style>
  <w:style w:type="table" w:styleId="LightGrid">
    <w:name w:val="Light Grid"/>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66597"/>
    <w:rPr>
      <w:rFonts w:ascii="Times New Roman" w:eastAsia="Times New Roman" w:hAnsi="Times New Roman"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66597"/>
    <w:rPr>
      <w:rFonts w:ascii="Times New Roman" w:eastAsia="Times New Roman" w:hAnsi="Times New Roman" w:cs="Times New Roman"/>
      <w:color w:val="365F91"/>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66597"/>
    <w:rPr>
      <w:rFonts w:ascii="Times New Roman" w:eastAsia="Times New Roman" w:hAnsi="Times New Roman" w:cs="Times New Roman"/>
      <w:color w:val="94363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66597"/>
    <w:rPr>
      <w:rFonts w:ascii="Times New Roman" w:eastAsia="Times New Roman" w:hAnsi="Times New Roman" w:cs="Times New Roman"/>
      <w:color w:val="76923C"/>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66597"/>
    <w:rPr>
      <w:rFonts w:ascii="Times New Roman" w:eastAsia="Times New Roman" w:hAnsi="Times New Roman" w:cs="Times New Roman"/>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66597"/>
    <w:rPr>
      <w:rFonts w:ascii="Times New Roman" w:eastAsia="Times New Roman" w:hAnsi="Times New Roman" w:cs="Times New Roman"/>
      <w:color w:val="31849B"/>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66597"/>
    <w:rPr>
      <w:rFonts w:ascii="Times New Roman" w:eastAsia="Times New Roman" w:hAnsi="Times New Roman" w:cs="Times New Roma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766597"/>
  </w:style>
  <w:style w:type="paragraph" w:styleId="List">
    <w:name w:val="List"/>
    <w:basedOn w:val="Normal"/>
    <w:rsid w:val="00766597"/>
    <w:pPr>
      <w:ind w:left="283" w:hanging="283"/>
      <w:contextualSpacing/>
    </w:pPr>
  </w:style>
  <w:style w:type="paragraph" w:styleId="List2">
    <w:name w:val="List 2"/>
    <w:basedOn w:val="Normal"/>
    <w:rsid w:val="00766597"/>
    <w:pPr>
      <w:ind w:left="566" w:hanging="283"/>
      <w:contextualSpacing/>
    </w:pPr>
  </w:style>
  <w:style w:type="paragraph" w:styleId="List3">
    <w:name w:val="List 3"/>
    <w:basedOn w:val="Normal"/>
    <w:rsid w:val="00766597"/>
    <w:pPr>
      <w:ind w:left="849" w:hanging="283"/>
      <w:contextualSpacing/>
    </w:pPr>
  </w:style>
  <w:style w:type="paragraph" w:styleId="List4">
    <w:name w:val="List 4"/>
    <w:basedOn w:val="Normal"/>
    <w:rsid w:val="00766597"/>
    <w:pPr>
      <w:ind w:left="1132" w:hanging="283"/>
      <w:contextualSpacing/>
    </w:pPr>
  </w:style>
  <w:style w:type="paragraph" w:styleId="List5">
    <w:name w:val="List 5"/>
    <w:basedOn w:val="Normal"/>
    <w:rsid w:val="00766597"/>
    <w:pPr>
      <w:ind w:left="1415" w:hanging="283"/>
      <w:contextualSpacing/>
    </w:pPr>
  </w:style>
  <w:style w:type="paragraph" w:styleId="ListBullet">
    <w:name w:val="List Bullet"/>
    <w:basedOn w:val="Normal"/>
    <w:rsid w:val="00766597"/>
    <w:pPr>
      <w:numPr>
        <w:numId w:val="5"/>
      </w:numPr>
      <w:contextualSpacing/>
    </w:pPr>
  </w:style>
  <w:style w:type="paragraph" w:styleId="ListBullet2">
    <w:name w:val="List Bullet 2"/>
    <w:basedOn w:val="Normal"/>
    <w:rsid w:val="00766597"/>
    <w:pPr>
      <w:numPr>
        <w:numId w:val="6"/>
      </w:numPr>
      <w:contextualSpacing/>
    </w:pPr>
  </w:style>
  <w:style w:type="paragraph" w:styleId="ListBullet3">
    <w:name w:val="List Bullet 3"/>
    <w:basedOn w:val="Normal"/>
    <w:rsid w:val="00766597"/>
    <w:pPr>
      <w:numPr>
        <w:numId w:val="7"/>
      </w:numPr>
      <w:contextualSpacing/>
    </w:pPr>
  </w:style>
  <w:style w:type="paragraph" w:styleId="ListBullet4">
    <w:name w:val="List Bullet 4"/>
    <w:basedOn w:val="Normal"/>
    <w:rsid w:val="00766597"/>
    <w:pPr>
      <w:numPr>
        <w:numId w:val="8"/>
      </w:numPr>
      <w:contextualSpacing/>
    </w:pPr>
  </w:style>
  <w:style w:type="paragraph" w:styleId="ListBullet5">
    <w:name w:val="List Bullet 5"/>
    <w:basedOn w:val="Normal"/>
    <w:rsid w:val="00766597"/>
    <w:pPr>
      <w:numPr>
        <w:numId w:val="9"/>
      </w:numPr>
      <w:contextualSpacing/>
    </w:pPr>
  </w:style>
  <w:style w:type="paragraph" w:styleId="ListContinue">
    <w:name w:val="List Continue"/>
    <w:basedOn w:val="Normal"/>
    <w:rsid w:val="00766597"/>
    <w:pPr>
      <w:spacing w:after="120"/>
      <w:ind w:left="283"/>
      <w:contextualSpacing/>
    </w:pPr>
  </w:style>
  <w:style w:type="paragraph" w:styleId="ListContinue2">
    <w:name w:val="List Continue 2"/>
    <w:basedOn w:val="Normal"/>
    <w:rsid w:val="00766597"/>
    <w:pPr>
      <w:spacing w:after="120"/>
      <w:ind w:left="566"/>
      <w:contextualSpacing/>
    </w:pPr>
  </w:style>
  <w:style w:type="paragraph" w:styleId="ListContinue3">
    <w:name w:val="List Continue 3"/>
    <w:basedOn w:val="Normal"/>
    <w:rsid w:val="00766597"/>
    <w:pPr>
      <w:spacing w:after="120"/>
      <w:ind w:left="849"/>
      <w:contextualSpacing/>
    </w:pPr>
  </w:style>
  <w:style w:type="paragraph" w:styleId="ListContinue4">
    <w:name w:val="List Continue 4"/>
    <w:basedOn w:val="Normal"/>
    <w:rsid w:val="00766597"/>
    <w:pPr>
      <w:spacing w:after="120"/>
      <w:ind w:left="1132"/>
      <w:contextualSpacing/>
    </w:pPr>
  </w:style>
  <w:style w:type="paragraph" w:styleId="ListContinue5">
    <w:name w:val="List Continue 5"/>
    <w:basedOn w:val="Normal"/>
    <w:rsid w:val="00766597"/>
    <w:pPr>
      <w:spacing w:after="120"/>
      <w:ind w:left="1415"/>
      <w:contextualSpacing/>
    </w:pPr>
  </w:style>
  <w:style w:type="paragraph" w:styleId="ListNumber5">
    <w:name w:val="List Number 5"/>
    <w:basedOn w:val="Normal"/>
    <w:rsid w:val="00766597"/>
    <w:pPr>
      <w:numPr>
        <w:numId w:val="14"/>
      </w:numPr>
      <w:contextualSpacing/>
    </w:pPr>
  </w:style>
  <w:style w:type="paragraph" w:styleId="MacroText">
    <w:name w:val="macro"/>
    <w:link w:val="MacroTextChar"/>
    <w:rsid w:val="0076659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character" w:customStyle="1" w:styleId="MacroTextChar">
    <w:name w:val="Macro Text Char"/>
    <w:link w:val="MacroText"/>
    <w:rsid w:val="00766597"/>
    <w:rPr>
      <w:rFonts w:ascii="Courier New" w:eastAsia="Times New Roman" w:hAnsi="Courier New" w:cs="Courier New"/>
      <w:lang w:eastAsia="en-US"/>
    </w:rPr>
  </w:style>
  <w:style w:type="table" w:styleId="MediumGrid1">
    <w:name w:val="Medium Grid 1"/>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76659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766597"/>
    <w:rPr>
      <w:rFonts w:ascii="Cambria" w:eastAsia="SimSun" w:hAnsi="Cambria" w:cs="Times New Roman"/>
      <w:sz w:val="24"/>
      <w:szCs w:val="24"/>
      <w:shd w:val="pct20" w:color="auto" w:fill="auto"/>
      <w:lang w:eastAsia="en-US"/>
    </w:rPr>
  </w:style>
  <w:style w:type="paragraph" w:styleId="NoSpacing">
    <w:name w:val="No Spacing"/>
    <w:uiPriority w:val="1"/>
    <w:qFormat/>
    <w:rsid w:val="00766597"/>
    <w:rPr>
      <w:rFonts w:eastAsia="Times New Roman"/>
      <w:lang w:eastAsia="en-US"/>
    </w:rPr>
  </w:style>
  <w:style w:type="paragraph" w:styleId="NormalIndent">
    <w:name w:val="Normal Indent"/>
    <w:basedOn w:val="Normal"/>
    <w:rsid w:val="00766597"/>
    <w:pPr>
      <w:ind w:left="720"/>
    </w:pPr>
  </w:style>
  <w:style w:type="paragraph" w:styleId="NoteHeading">
    <w:name w:val="Note Heading"/>
    <w:basedOn w:val="Normal"/>
    <w:next w:val="Normal"/>
    <w:link w:val="NoteHeadingChar"/>
    <w:rsid w:val="00766597"/>
  </w:style>
  <w:style w:type="character" w:customStyle="1" w:styleId="NoteHeadingChar">
    <w:name w:val="Note Heading Char"/>
    <w:link w:val="NoteHeading"/>
    <w:rsid w:val="00766597"/>
    <w:rPr>
      <w:rFonts w:eastAsia="Times New Roman"/>
      <w:lang w:eastAsia="en-US"/>
    </w:rPr>
  </w:style>
  <w:style w:type="character" w:styleId="PlaceholderText">
    <w:name w:val="Placeholder Text"/>
    <w:uiPriority w:val="99"/>
    <w:semiHidden/>
    <w:rsid w:val="00766597"/>
    <w:rPr>
      <w:color w:val="808080"/>
    </w:rPr>
  </w:style>
  <w:style w:type="paragraph" w:styleId="PlainText">
    <w:name w:val="Plain Text"/>
    <w:basedOn w:val="Normal"/>
    <w:link w:val="PlainTextChar"/>
    <w:rsid w:val="00766597"/>
    <w:rPr>
      <w:rFonts w:ascii="Courier New" w:hAnsi="Courier New" w:cs="Courier New"/>
    </w:rPr>
  </w:style>
  <w:style w:type="character" w:customStyle="1" w:styleId="PlainTextChar">
    <w:name w:val="Plain Text Char"/>
    <w:link w:val="PlainText"/>
    <w:rsid w:val="00766597"/>
    <w:rPr>
      <w:rFonts w:ascii="Courier New" w:eastAsia="Times New Roman" w:hAnsi="Courier New" w:cs="Courier New"/>
      <w:lang w:eastAsia="en-US"/>
    </w:rPr>
  </w:style>
  <w:style w:type="paragraph" w:styleId="Quote">
    <w:name w:val="Quote"/>
    <w:basedOn w:val="Normal"/>
    <w:next w:val="Normal"/>
    <w:link w:val="QuoteChar"/>
    <w:uiPriority w:val="29"/>
    <w:qFormat/>
    <w:rsid w:val="00766597"/>
    <w:rPr>
      <w:i/>
      <w:iCs/>
      <w:color w:val="000000"/>
    </w:rPr>
  </w:style>
  <w:style w:type="character" w:customStyle="1" w:styleId="QuoteChar">
    <w:name w:val="Quote Char"/>
    <w:link w:val="Quote"/>
    <w:uiPriority w:val="29"/>
    <w:rsid w:val="00766597"/>
    <w:rPr>
      <w:rFonts w:eastAsia="Times New Roman"/>
      <w:i/>
      <w:iCs/>
      <w:color w:val="000000"/>
      <w:lang w:eastAsia="en-US"/>
    </w:rPr>
  </w:style>
  <w:style w:type="paragraph" w:styleId="Salutation">
    <w:name w:val="Salutation"/>
    <w:basedOn w:val="Normal"/>
    <w:next w:val="Normal"/>
    <w:link w:val="SalutationChar"/>
    <w:rsid w:val="00766597"/>
  </w:style>
  <w:style w:type="character" w:customStyle="1" w:styleId="SalutationChar">
    <w:name w:val="Salutation Char"/>
    <w:link w:val="Salutation"/>
    <w:rsid w:val="00766597"/>
    <w:rPr>
      <w:rFonts w:eastAsia="Times New Roman"/>
      <w:lang w:eastAsia="en-US"/>
    </w:rPr>
  </w:style>
  <w:style w:type="paragraph" w:styleId="Signature">
    <w:name w:val="Signature"/>
    <w:basedOn w:val="Normal"/>
    <w:link w:val="SignatureChar"/>
    <w:rsid w:val="00766597"/>
    <w:pPr>
      <w:ind w:left="4252"/>
    </w:pPr>
  </w:style>
  <w:style w:type="character" w:customStyle="1" w:styleId="SignatureChar">
    <w:name w:val="Signature Char"/>
    <w:link w:val="Signature"/>
    <w:rsid w:val="00766597"/>
    <w:rPr>
      <w:rFonts w:eastAsia="Times New Roman"/>
      <w:lang w:eastAsia="en-US"/>
    </w:rPr>
  </w:style>
  <w:style w:type="character" w:styleId="Strong">
    <w:name w:val="Strong"/>
    <w:qFormat/>
    <w:rsid w:val="00766597"/>
    <w:rPr>
      <w:b/>
      <w:bCs/>
    </w:rPr>
  </w:style>
  <w:style w:type="character" w:customStyle="1" w:styleId="SubtitleChar">
    <w:name w:val="Subtitle Char"/>
    <w:link w:val="Subtitle"/>
    <w:rsid w:val="00766597"/>
    <w:rPr>
      <w:rFonts w:ascii="Cambria" w:eastAsia="SimSun" w:hAnsi="Cambria" w:cs="Times New Roman"/>
      <w:sz w:val="24"/>
      <w:szCs w:val="24"/>
      <w:lang w:eastAsia="en-US"/>
    </w:rPr>
  </w:style>
  <w:style w:type="character" w:styleId="SubtleEmphasis">
    <w:name w:val="Subtle Emphasis"/>
    <w:uiPriority w:val="19"/>
    <w:qFormat/>
    <w:rsid w:val="00766597"/>
    <w:rPr>
      <w:i/>
      <w:iCs/>
      <w:color w:val="808080"/>
    </w:rPr>
  </w:style>
  <w:style w:type="character" w:styleId="SubtleReference">
    <w:name w:val="Subtle Reference"/>
    <w:uiPriority w:val="31"/>
    <w:qFormat/>
    <w:rsid w:val="00766597"/>
    <w:rPr>
      <w:smallCaps/>
      <w:color w:val="C0504D"/>
      <w:u w:val="single"/>
    </w:rPr>
  </w:style>
  <w:style w:type="table" w:styleId="Table3Deffects1">
    <w:name w:val="Table 3D effects 1"/>
    <w:basedOn w:val="TableNormal"/>
    <w:rsid w:val="00766597"/>
    <w:rPr>
      <w:rFonts w:ascii="Times New Roman" w:eastAsia="Times New Roman" w:hAnsi="Times New Roman" w:cs="Times New Roman"/>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66597"/>
    <w:rPr>
      <w:rFonts w:ascii="Times New Roman" w:eastAsia="Times New Roman" w:hAnsi="Times New Roman" w:cs="Times New Roman"/>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66597"/>
    <w:rPr>
      <w:rFonts w:ascii="Times New Roman" w:eastAsia="Times New Roman" w:hAnsi="Times New Roman" w:cs="Times New Roman"/>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66597"/>
    <w:rPr>
      <w:rFonts w:ascii="Times New Roman" w:eastAsia="Times New Roman" w:hAnsi="Times New Roman" w:cs="Times New Roman"/>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66597"/>
    <w:rPr>
      <w:rFonts w:ascii="Times New Roman" w:eastAsia="Times New Roman" w:hAnsi="Times New Roman" w:cs="Times New Roman"/>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66597"/>
    <w:rPr>
      <w:rFonts w:ascii="Times New Roman" w:eastAsia="Times New Roman" w:hAnsi="Times New Roman" w:cs="Times New Roman"/>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66597"/>
    <w:rPr>
      <w:rFonts w:ascii="Times New Roman" w:eastAsia="Times New Roman" w:hAnsi="Times New Roman" w:cs="Times New Roman"/>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66597"/>
    <w:rPr>
      <w:rFonts w:ascii="Times New Roman" w:eastAsia="Times New Roman" w:hAnsi="Times New Roman" w:cs="Times New Roman"/>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66597"/>
    <w:rPr>
      <w:rFonts w:ascii="Times New Roman" w:eastAsia="Times New Roman" w:hAnsi="Times New Roman" w:cs="Times New Roman"/>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66597"/>
    <w:rPr>
      <w:rFonts w:ascii="Times New Roman" w:eastAsia="Times New Roman" w:hAnsi="Times New Roman" w:cs="Times New Roman"/>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66597"/>
    <w:rPr>
      <w:rFonts w:ascii="Times New Roman" w:eastAsia="Times New Roman" w:hAnsi="Times New Roman" w:cs="Times New Roman"/>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66597"/>
    <w:rPr>
      <w:rFonts w:ascii="Times New Roman" w:eastAsia="Times New Roman" w:hAnsi="Times New Roman" w:cs="Times New Roman"/>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66597"/>
    <w:rPr>
      <w:rFonts w:ascii="Times New Roman" w:eastAsia="Times New Roman" w:hAnsi="Times New Roman" w:cs="Times New Roma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66597"/>
    <w:rPr>
      <w:rFonts w:ascii="Times New Roman" w:eastAsia="Times New Roman" w:hAnsi="Times New Roman" w:cs="Times New Roman"/>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66597"/>
    <w:rPr>
      <w:rFonts w:ascii="Times New Roman" w:eastAsia="Times New Roman" w:hAnsi="Times New Roma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66597"/>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66597"/>
    <w:rPr>
      <w:rFonts w:ascii="Times New Roman" w:eastAsia="Times New Roman" w:hAnsi="Times New Roma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66597"/>
    <w:rPr>
      <w:rFonts w:ascii="Times New Roman" w:eastAsia="Times New Roman" w:hAnsi="Times New Roma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66597"/>
    <w:rPr>
      <w:rFonts w:ascii="Times New Roman" w:eastAsia="Times New Roman" w:hAnsi="Times New Roma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66597"/>
    <w:rPr>
      <w:rFonts w:ascii="Times New Roman" w:eastAsia="Times New Roman" w:hAnsi="Times New Roman" w:cs="Times New Roman"/>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66597"/>
    <w:rPr>
      <w:rFonts w:ascii="Times New Roman" w:eastAsia="Times New Roman" w:hAnsi="Times New Roman" w:cs="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66597"/>
    <w:rPr>
      <w:rFonts w:ascii="Times New Roman" w:eastAsia="Times New Roman" w:hAnsi="Times New Roman" w:cs="Times New Roman"/>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66597"/>
    <w:rPr>
      <w:rFonts w:ascii="Times New Roman" w:eastAsia="Times New Roman" w:hAnsi="Times New Roman" w:cs="Times New Roman"/>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66597"/>
    <w:rPr>
      <w:rFonts w:ascii="Times New Roman" w:eastAsia="Times New Roman" w:hAnsi="Times New Roman" w:cs="Times New Roman"/>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66597"/>
    <w:rPr>
      <w:rFonts w:ascii="Times New Roman" w:eastAsia="Times New Roman" w:hAnsi="Times New Roman" w:cs="Times New Roman"/>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66597"/>
    <w:rPr>
      <w:rFonts w:ascii="Times New Roman" w:eastAsia="Times New Roman" w:hAnsi="Times New Roman"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766597"/>
    <w:pPr>
      <w:ind w:left="200" w:hanging="200"/>
    </w:pPr>
  </w:style>
  <w:style w:type="paragraph" w:styleId="TableofFigures">
    <w:name w:val="table of figures"/>
    <w:basedOn w:val="Normal"/>
    <w:next w:val="Normal"/>
    <w:rsid w:val="00766597"/>
  </w:style>
  <w:style w:type="table" w:styleId="TableProfessional">
    <w:name w:val="Table Professional"/>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66597"/>
    <w:rPr>
      <w:rFonts w:ascii="Times New Roman" w:eastAsia="Times New Roman" w:hAnsi="Times New Roman" w:cs="Times New Roman"/>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66597"/>
    <w:rPr>
      <w:rFonts w:ascii="Times New Roman" w:eastAsia="Times New Roman" w:hAnsi="Times New Roman" w:cs="Times New Roma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66597"/>
    <w:rPr>
      <w:rFonts w:ascii="Times New Roman" w:eastAsia="Times New Roman" w:hAnsi="Times New Roman" w:cs="Times New Roman"/>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66597"/>
    <w:rPr>
      <w:rFonts w:ascii="Times New Roman" w:eastAsia="Times New Roman" w:hAnsi="Times New Roman" w:cs="Times New Roma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66597"/>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66597"/>
    <w:rPr>
      <w:rFonts w:ascii="Times New Roman" w:eastAsia="Times New Roman" w:hAnsi="Times New Roman" w:cs="Times New Roman"/>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66597"/>
    <w:rPr>
      <w:rFonts w:ascii="Times New Roman" w:eastAsia="Times New Roman" w:hAnsi="Times New Roman" w:cs="Times New Roman"/>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66597"/>
    <w:rPr>
      <w:rFonts w:ascii="Times New Roman" w:eastAsia="Times New Roman" w:hAnsi="Times New Roman" w:cs="Times New Roman"/>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link w:val="Title"/>
    <w:rsid w:val="00766597"/>
    <w:rPr>
      <w:rFonts w:ascii="Cambria" w:eastAsia="SimSun" w:hAnsi="Cambria" w:cs="Times New Roman"/>
      <w:b/>
      <w:bCs/>
      <w:kern w:val="28"/>
      <w:sz w:val="32"/>
      <w:szCs w:val="32"/>
      <w:lang w:eastAsia="en-US"/>
    </w:rPr>
  </w:style>
  <w:style w:type="paragraph" w:styleId="TOAHeading">
    <w:name w:val="toa heading"/>
    <w:basedOn w:val="Normal"/>
    <w:next w:val="Normal"/>
    <w:rsid w:val="00766597"/>
    <w:pPr>
      <w:spacing w:before="120"/>
    </w:pPr>
    <w:rPr>
      <w:rFonts w:ascii="Cambria" w:eastAsia="SimSun" w:hAnsi="Cambria" w:cs="Times New Roman"/>
      <w:b/>
      <w:bCs/>
      <w:sz w:val="24"/>
      <w:szCs w:val="24"/>
    </w:rPr>
  </w:style>
  <w:style w:type="paragraph" w:styleId="TOCHeading">
    <w:name w:val="TOC Heading"/>
    <w:basedOn w:val="Heading1"/>
    <w:next w:val="Normal"/>
    <w:uiPriority w:val="39"/>
    <w:semiHidden/>
    <w:unhideWhenUsed/>
    <w:qFormat/>
    <w:rsid w:val="00766597"/>
    <w:pPr>
      <w:numPr>
        <w:numId w:val="0"/>
      </w:numPr>
      <w:pBdr>
        <w:top w:val="none" w:sz="0" w:space="0" w:color="auto"/>
      </w:pBdr>
      <w:spacing w:after="60"/>
      <w:outlineLvl w:val="9"/>
    </w:pPr>
    <w:rPr>
      <w:rFonts w:ascii="Cambria" w:eastAsia="SimSun" w:hAnsi="Cambria" w:cs="Times New Roman"/>
      <w:bCs/>
      <w:kern w:val="32"/>
      <w:sz w:val="32"/>
      <w:szCs w:val="32"/>
    </w:rPr>
  </w:style>
  <w:style w:type="paragraph" w:customStyle="1" w:styleId="Item">
    <w:name w:val="Item"/>
    <w:basedOn w:val="Normal"/>
    <w:next w:val="BodyText"/>
    <w:qFormat/>
    <w:rsid w:val="00766597"/>
    <w:pPr>
      <w:numPr>
        <w:numId w:val="16"/>
      </w:numPr>
      <w:spacing w:before="120"/>
    </w:pPr>
    <w:rPr>
      <w:b/>
    </w:rPr>
  </w:style>
  <w:style w:type="numbering" w:customStyle="1" w:styleId="ItemListHeading">
    <w:name w:val="Item List Heading"/>
    <w:uiPriority w:val="99"/>
    <w:rsid w:val="00766597"/>
    <w:pPr>
      <w:numPr>
        <w:numId w:val="15"/>
      </w:numPr>
    </w:pPr>
  </w:style>
  <w:style w:type="paragraph" w:customStyle="1" w:styleId="ItemSub">
    <w:name w:val="ItemSub"/>
    <w:basedOn w:val="Item"/>
    <w:next w:val="BodyText"/>
    <w:qFormat/>
    <w:rsid w:val="00766597"/>
    <w:pPr>
      <w:numPr>
        <w:ilvl w:val="1"/>
      </w:numPr>
    </w:pPr>
  </w:style>
  <w:style w:type="numbering" w:customStyle="1" w:styleId="AnnexureListNumbers">
    <w:name w:val="Annexure List Numbers"/>
    <w:basedOn w:val="NoList"/>
    <w:uiPriority w:val="99"/>
    <w:rsid w:val="00766597"/>
    <w:pPr>
      <w:numPr>
        <w:numId w:val="17"/>
      </w:numPr>
    </w:pPr>
  </w:style>
  <w:style w:type="paragraph" w:customStyle="1" w:styleId="AnnexurePageHeading">
    <w:name w:val="Annexure Page Heading"/>
    <w:basedOn w:val="Normal"/>
    <w:next w:val="BodyText"/>
    <w:uiPriority w:val="2"/>
    <w:qFormat/>
    <w:rsid w:val="00766597"/>
    <w:pPr>
      <w:numPr>
        <w:numId w:val="17"/>
      </w:numPr>
      <w:spacing w:after="1240"/>
    </w:pPr>
    <w:rPr>
      <w:sz w:val="36"/>
    </w:rPr>
  </w:style>
  <w:style w:type="numbering" w:customStyle="1" w:styleId="ScheduleListNumbers">
    <w:name w:val="Schedule List Numbers"/>
    <w:basedOn w:val="NoList"/>
    <w:uiPriority w:val="99"/>
    <w:rsid w:val="00766597"/>
    <w:pPr>
      <w:numPr>
        <w:numId w:val="18"/>
      </w:numPr>
    </w:pPr>
  </w:style>
  <w:style w:type="paragraph" w:customStyle="1" w:styleId="SchedulePageHeading">
    <w:name w:val="Schedule Page Heading"/>
    <w:basedOn w:val="Normal"/>
    <w:next w:val="SchedH1"/>
    <w:uiPriority w:val="2"/>
    <w:qFormat/>
    <w:rsid w:val="00766597"/>
    <w:pPr>
      <w:numPr>
        <w:numId w:val="20"/>
      </w:numPr>
      <w:spacing w:after="1240"/>
    </w:pPr>
    <w:rPr>
      <w:sz w:val="36"/>
    </w:rPr>
  </w:style>
  <w:style w:type="numbering" w:customStyle="1" w:styleId="PartHeadingNumbering">
    <w:name w:val="Part Heading Numbering"/>
    <w:uiPriority w:val="99"/>
    <w:rsid w:val="00766597"/>
    <w:pPr>
      <w:numPr>
        <w:numId w:val="19"/>
      </w:numPr>
    </w:pPr>
  </w:style>
  <w:style w:type="table" w:customStyle="1" w:styleId="TableGrid10">
    <w:name w:val="Table Grid1"/>
    <w:basedOn w:val="TableNormal"/>
    <w:next w:val="TableGrid"/>
    <w:rsid w:val="00DC7C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916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7615</Words>
  <Characters>43410</Characters>
  <Application>Microsoft Office Word</Application>
  <DocSecurity>0</DocSecurity>
  <Lines>361</Lines>
  <Paragraphs>101</Paragraphs>
  <ScaleCrop>false</ScaleCrop>
  <Company/>
  <LinksUpToDate>false</LinksUpToDate>
  <CharactersWithSpaces>50924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duxbury</dc:creator>
  <cp:lastModifiedBy>jennifer duxbury</cp:lastModifiedBy>
  <cp:revision>2</cp:revision>
  <dcterms:created xsi:type="dcterms:W3CDTF">2025-07-04T03:02:00Z</dcterms:created>
  <dcterms:modified xsi:type="dcterms:W3CDTF">2025-07-04T03:02:00Z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69226208_25</vt:lpwstr>
  </property>
  <property fmtid="{D5CDD505-2E9C-101B-9397-08002B2CF9AE}" pid="3" name="kwmDocumentID">
    <vt:lpwstr>DOCUMENTS!69226208.25</vt:lpwstr>
  </property>
</Properties>
</file>